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753C" w:rsidRDefault="0070753C">
      <w:pPr>
        <w:pBdr>
          <w:top w:val="nil"/>
          <w:left w:val="nil"/>
          <w:bottom w:val="nil"/>
          <w:right w:val="nil"/>
          <w:between w:val="nil"/>
        </w:pBdr>
        <w:jc w:val="center"/>
        <w:rPr>
          <w:rFonts w:ascii="Arial" w:eastAsia="Arial" w:hAnsi="Arial" w:cs="Arial"/>
          <w:b/>
          <w:color w:val="000000"/>
          <w:sz w:val="32"/>
          <w:szCs w:val="32"/>
        </w:rPr>
      </w:pPr>
    </w:p>
    <w:p w:rsidR="0070753C" w:rsidRDefault="00F815CA">
      <w:pPr>
        <w:pBdr>
          <w:top w:val="nil"/>
          <w:left w:val="nil"/>
          <w:bottom w:val="nil"/>
          <w:right w:val="nil"/>
          <w:between w:val="nil"/>
        </w:pBdr>
        <w:jc w:val="center"/>
        <w:rPr>
          <w:rFonts w:ascii="Arial" w:eastAsia="Arial" w:hAnsi="Arial" w:cs="Arial"/>
          <w:b/>
          <w:color w:val="000000"/>
          <w:sz w:val="32"/>
          <w:szCs w:val="32"/>
        </w:rPr>
      </w:pPr>
      <w:r>
        <w:rPr>
          <w:rFonts w:ascii="Arial" w:eastAsia="Arial" w:hAnsi="Arial" w:cs="Arial"/>
          <w:b/>
          <w:color w:val="000000"/>
          <w:sz w:val="32"/>
          <w:szCs w:val="32"/>
        </w:rPr>
        <w:t>Income Generation from Estates &amp; Assets</w:t>
      </w:r>
    </w:p>
    <w:p w:rsidR="0070753C" w:rsidRDefault="0070753C">
      <w:pPr>
        <w:pBdr>
          <w:top w:val="nil"/>
          <w:left w:val="nil"/>
          <w:bottom w:val="nil"/>
          <w:right w:val="nil"/>
          <w:between w:val="nil"/>
        </w:pBdr>
        <w:jc w:val="center"/>
        <w:rPr>
          <w:rFonts w:ascii="Arial" w:eastAsia="Arial" w:hAnsi="Arial" w:cs="Arial"/>
          <w:b/>
          <w:color w:val="000000"/>
          <w:sz w:val="32"/>
          <w:szCs w:val="32"/>
        </w:rPr>
      </w:pPr>
    </w:p>
    <w:p w:rsidR="0070753C" w:rsidRDefault="00F815CA">
      <w:pPr>
        <w:pBdr>
          <w:top w:val="nil"/>
          <w:left w:val="nil"/>
          <w:bottom w:val="nil"/>
          <w:right w:val="nil"/>
          <w:between w:val="nil"/>
        </w:pBdr>
        <w:jc w:val="center"/>
        <w:rPr>
          <w:rFonts w:ascii="Arial" w:eastAsia="Arial" w:hAnsi="Arial" w:cs="Arial"/>
          <w:b/>
          <w:color w:val="000000"/>
          <w:sz w:val="32"/>
          <w:szCs w:val="32"/>
        </w:rPr>
      </w:pPr>
      <w:r>
        <w:rPr>
          <w:rFonts w:ascii="Arial" w:eastAsia="Arial" w:hAnsi="Arial" w:cs="Arial"/>
          <w:b/>
          <w:color w:val="000000"/>
          <w:sz w:val="32"/>
          <w:szCs w:val="32"/>
        </w:rPr>
        <w:t>Framework Award Form</w:t>
      </w:r>
    </w:p>
    <w:p w:rsidR="0070753C" w:rsidRDefault="0070753C">
      <w:pPr>
        <w:pBdr>
          <w:top w:val="nil"/>
          <w:left w:val="nil"/>
          <w:bottom w:val="nil"/>
          <w:right w:val="nil"/>
          <w:between w:val="nil"/>
        </w:pBdr>
        <w:rPr>
          <w:rFonts w:ascii="Arial" w:eastAsia="Arial" w:hAnsi="Arial" w:cs="Arial"/>
          <w:b/>
          <w:color w:val="000000"/>
          <w:sz w:val="32"/>
          <w:szCs w:val="32"/>
        </w:rPr>
      </w:pPr>
    </w:p>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This Framework Award Form creates the Framework Contract. It summarises the main features of the procurement and includes CCS and the Supplier’s contact details</w:t>
      </w:r>
    </w:p>
    <w:p w:rsidR="0070753C" w:rsidRDefault="0070753C">
      <w:pPr>
        <w:pBdr>
          <w:top w:val="nil"/>
          <w:left w:val="nil"/>
          <w:bottom w:val="nil"/>
          <w:right w:val="nil"/>
          <w:between w:val="nil"/>
        </w:pBdr>
        <w:rPr>
          <w:rFonts w:ascii="Arial" w:eastAsia="Arial" w:hAnsi="Arial" w:cs="Arial"/>
          <w:b/>
          <w:color w:val="000000"/>
        </w:rPr>
      </w:pPr>
    </w:p>
    <w:tbl>
      <w:tblPr>
        <w:tblStyle w:val="a7"/>
        <w:tblW w:w="9634"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1"/>
        <w:gridCol w:w="1980"/>
        <w:gridCol w:w="7193"/>
      </w:tblGrid>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CCS </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The Minister for the Cabinet Office represented by its executive agency the Crown Commercial Service (CCS).</w:t>
            </w:r>
          </w:p>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p>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Its offices are on: 9th Floor, The Capital, Old Hall Street, Liverpool L3 9PP.</w:t>
            </w: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2</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Supplier</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Pr="00311E97" w:rsidRDefault="00F815CA">
            <w:pPr>
              <w:pBdr>
                <w:top w:val="nil"/>
                <w:left w:val="nil"/>
                <w:bottom w:val="nil"/>
                <w:right w:val="nil"/>
                <w:between w:val="nil"/>
              </w:pBdr>
              <w:rPr>
                <w:color w:val="000000"/>
              </w:rPr>
            </w:pPr>
            <w:r>
              <w:rPr>
                <w:rFonts w:ascii="Arial" w:eastAsia="Arial" w:hAnsi="Arial" w:cs="Arial"/>
                <w:color w:val="000000"/>
              </w:rPr>
              <w:t>Name</w:t>
            </w:r>
            <w:r>
              <w:rPr>
                <w:rFonts w:ascii="Arial" w:eastAsia="Arial" w:hAnsi="Arial" w:cs="Arial"/>
                <w:color w:val="000000"/>
              </w:rPr>
              <w:t xml:space="preserve">:                  </w:t>
            </w:r>
            <w:r w:rsidR="00311E97">
              <w:rPr>
                <w:rFonts w:ascii="Arial" w:eastAsia="Arial" w:hAnsi="Arial" w:cs="Arial"/>
                <w:color w:val="000000"/>
              </w:rPr>
              <w:t xml:space="preserve">      </w:t>
            </w:r>
            <w:proofErr w:type="gramStart"/>
            <w:r w:rsidR="00311E97">
              <w:rPr>
                <w:rFonts w:ascii="Arial" w:eastAsia="Arial" w:hAnsi="Arial" w:cs="Arial"/>
                <w:color w:val="000000"/>
              </w:rPr>
              <w:t xml:space="preserve">   </w:t>
            </w:r>
            <w:r w:rsidR="00311E97">
              <w:rPr>
                <w:rFonts w:ascii="Arial" w:hAnsi="Arial" w:cs="Arial"/>
                <w:b/>
                <w:bCs/>
                <w:color w:val="000000"/>
                <w:sz w:val="20"/>
                <w:szCs w:val="20"/>
              </w:rPr>
              <w:t>[</w:t>
            </w:r>
            <w:proofErr w:type="gramEnd"/>
            <w:r w:rsidR="00311E97">
              <w:rPr>
                <w:rFonts w:ascii="Arial" w:hAnsi="Arial" w:cs="Arial"/>
                <w:b/>
                <w:bCs/>
                <w:color w:val="000000"/>
                <w:sz w:val="20"/>
                <w:szCs w:val="20"/>
              </w:rPr>
              <w:t>Supplier Name]</w:t>
            </w:r>
          </w:p>
          <w:p w:rsidR="0070753C" w:rsidRPr="00311E97" w:rsidRDefault="00F815CA" w:rsidP="00311E97">
            <w:pPr>
              <w:pStyle w:val="NormalWeb"/>
              <w:spacing w:before="0" w:beforeAutospacing="0" w:after="0" w:afterAutospacing="0"/>
            </w:pPr>
            <w:r>
              <w:rPr>
                <w:rFonts w:ascii="Arial" w:eastAsia="Arial" w:hAnsi="Arial" w:cs="Arial"/>
                <w:color w:val="000000"/>
              </w:rPr>
              <w:t xml:space="preserve">Address:             </w:t>
            </w:r>
            <w:r w:rsidR="00311E97">
              <w:rPr>
                <w:rFonts w:ascii="Arial" w:eastAsia="Arial" w:hAnsi="Arial" w:cs="Arial"/>
                <w:color w:val="000000"/>
              </w:rPr>
              <w:t xml:space="preserve">       </w:t>
            </w:r>
            <w:proofErr w:type="gramStart"/>
            <w:r w:rsidR="00311E97">
              <w:rPr>
                <w:rFonts w:ascii="Arial" w:eastAsia="Arial" w:hAnsi="Arial" w:cs="Arial"/>
                <w:color w:val="000000"/>
              </w:rPr>
              <w:t xml:space="preserve">  </w:t>
            </w:r>
            <w:r>
              <w:rPr>
                <w:rFonts w:ascii="Arial" w:eastAsia="Arial" w:hAnsi="Arial" w:cs="Arial"/>
                <w:color w:val="000000"/>
              </w:rPr>
              <w:t xml:space="preserve"> </w:t>
            </w:r>
            <w:r w:rsidR="00311E97">
              <w:rPr>
                <w:rFonts w:ascii="Arial" w:hAnsi="Arial" w:cs="Arial"/>
                <w:b/>
                <w:bCs/>
                <w:color w:val="000000"/>
                <w:sz w:val="20"/>
                <w:szCs w:val="20"/>
              </w:rPr>
              <w:t>[</w:t>
            </w:r>
            <w:proofErr w:type="gramEnd"/>
            <w:r w:rsidR="00311E97">
              <w:rPr>
                <w:rFonts w:ascii="Arial" w:hAnsi="Arial" w:cs="Arial"/>
                <w:b/>
                <w:bCs/>
                <w:color w:val="000000"/>
                <w:sz w:val="20"/>
                <w:szCs w:val="20"/>
              </w:rPr>
              <w:t>Supplier Address]</w:t>
            </w:r>
          </w:p>
          <w:p w:rsidR="0070753C" w:rsidRPr="00311E97" w:rsidRDefault="00F815CA" w:rsidP="00311E97">
            <w:pPr>
              <w:pStyle w:val="NormalWeb"/>
              <w:spacing w:before="0" w:beforeAutospacing="0" w:after="0" w:afterAutospacing="0"/>
            </w:pPr>
            <w:r>
              <w:rPr>
                <w:rFonts w:ascii="Arial" w:eastAsia="Arial" w:hAnsi="Arial" w:cs="Arial"/>
                <w:color w:val="000000"/>
              </w:rPr>
              <w:t xml:space="preserve">Registration number: </w:t>
            </w:r>
            <w:proofErr w:type="gramStart"/>
            <w:r>
              <w:rPr>
                <w:rFonts w:ascii="Arial" w:eastAsia="Arial" w:hAnsi="Arial" w:cs="Arial"/>
                <w:color w:val="000000"/>
              </w:rPr>
              <w:t xml:space="preserve">   </w:t>
            </w:r>
            <w:r w:rsidR="00311E97">
              <w:rPr>
                <w:rFonts w:ascii="Arial" w:hAnsi="Arial" w:cs="Arial"/>
                <w:b/>
                <w:bCs/>
                <w:color w:val="000000"/>
                <w:sz w:val="20"/>
                <w:szCs w:val="20"/>
              </w:rPr>
              <w:t>[</w:t>
            </w:r>
            <w:proofErr w:type="gramEnd"/>
            <w:r w:rsidR="00311E97">
              <w:rPr>
                <w:rFonts w:ascii="Arial" w:hAnsi="Arial" w:cs="Arial"/>
                <w:b/>
                <w:bCs/>
                <w:color w:val="000000"/>
                <w:sz w:val="20"/>
                <w:szCs w:val="20"/>
              </w:rPr>
              <w:t>Supplier Registration]</w:t>
            </w:r>
          </w:p>
          <w:p w:rsidR="0070753C" w:rsidRDefault="00F815CA" w:rsidP="00311E97">
            <w:pPr>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SID4GOV ID:             </w:t>
            </w:r>
            <w:proofErr w:type="gramStart"/>
            <w:r>
              <w:rPr>
                <w:rFonts w:ascii="Arial" w:eastAsia="Arial" w:hAnsi="Arial" w:cs="Arial"/>
                <w:color w:val="000000"/>
              </w:rPr>
              <w:t xml:space="preserve">   </w:t>
            </w:r>
            <w:r w:rsidR="00311E97">
              <w:rPr>
                <w:rFonts w:ascii="Arial" w:hAnsi="Arial" w:cs="Arial"/>
                <w:b/>
                <w:bCs/>
                <w:color w:val="000000"/>
                <w:sz w:val="20"/>
                <w:szCs w:val="20"/>
              </w:rPr>
              <w:t>[</w:t>
            </w:r>
            <w:proofErr w:type="gramEnd"/>
            <w:r w:rsidR="00311E97">
              <w:rPr>
                <w:rFonts w:ascii="Arial" w:hAnsi="Arial" w:cs="Arial"/>
                <w:b/>
                <w:bCs/>
                <w:color w:val="000000"/>
                <w:sz w:val="20"/>
                <w:szCs w:val="20"/>
              </w:rPr>
              <w:t>Supplier SID4GOV ID]</w:t>
            </w:r>
            <w:r>
              <w:rPr>
                <w:rFonts w:ascii="Arial" w:eastAsia="Arial" w:hAnsi="Arial" w:cs="Arial"/>
                <w:color w:val="000000"/>
              </w:rPr>
              <w:t xml:space="preserve">    </w:t>
            </w: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3</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Contract</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color w:val="000000"/>
              </w:rPr>
            </w:pPr>
            <w:r>
              <w:rPr>
                <w:rFonts w:ascii="Arial" w:eastAsia="Arial" w:hAnsi="Arial" w:cs="Arial"/>
                <w:color w:val="000000"/>
              </w:rPr>
              <w:t xml:space="preserve">This Framework Contract between CCS and the Supplier allows the Supplier to be considered for Call-off Contracts to supply the Deliverables </w:t>
            </w:r>
            <w:r w:rsidRPr="00311E97">
              <w:rPr>
                <w:rFonts w:ascii="Arial" w:eastAsia="Arial" w:hAnsi="Arial" w:cs="Arial"/>
                <w:color w:val="000000"/>
              </w:rPr>
              <w:t>[</w:t>
            </w:r>
            <w:r w:rsidRPr="00311E97">
              <w:rPr>
                <w:rFonts w:ascii="Arial" w:eastAsia="Arial" w:hAnsi="Arial" w:cs="Arial"/>
                <w:color w:val="000000"/>
              </w:rPr>
              <w:t>Lot</w:t>
            </w:r>
            <w:r w:rsidRPr="00311E97">
              <w:rPr>
                <w:rFonts w:ascii="Arial" w:eastAsia="Arial" w:hAnsi="Arial" w:cs="Arial"/>
                <w:color w:val="000000"/>
              </w:rPr>
              <w:t>].</w:t>
            </w:r>
            <w:r>
              <w:rPr>
                <w:rFonts w:ascii="Arial" w:eastAsia="Arial" w:hAnsi="Arial" w:cs="Arial"/>
                <w:color w:val="000000"/>
              </w:rPr>
              <w:t xml:space="preserve"> You cannot deliver in any other Lot under this contract. Any references made t</w:t>
            </w:r>
            <w:r>
              <w:rPr>
                <w:rFonts w:ascii="Arial" w:eastAsia="Arial" w:hAnsi="Arial" w:cs="Arial"/>
                <w:color w:val="000000"/>
              </w:rPr>
              <w:t>o other Lots in this contract do not apply.</w:t>
            </w:r>
          </w:p>
          <w:p w:rsidR="0070753C" w:rsidRDefault="0070753C">
            <w:pPr>
              <w:pBdr>
                <w:top w:val="nil"/>
                <w:left w:val="nil"/>
                <w:bottom w:val="nil"/>
                <w:right w:val="nil"/>
                <w:between w:val="nil"/>
              </w:pBdr>
              <w:rPr>
                <w:rFonts w:ascii="Arial" w:eastAsia="Arial" w:hAnsi="Arial" w:cs="Arial"/>
                <w:color w:val="000000"/>
              </w:rPr>
            </w:pPr>
          </w:p>
          <w:p w:rsidR="0070753C" w:rsidRDefault="00F815CA">
            <w:pPr>
              <w:pBdr>
                <w:top w:val="nil"/>
                <w:left w:val="nil"/>
                <w:bottom w:val="nil"/>
                <w:right w:val="nil"/>
                <w:between w:val="nil"/>
              </w:pBdr>
              <w:rPr>
                <w:color w:val="000000"/>
              </w:rPr>
            </w:pPr>
            <w:r>
              <w:rPr>
                <w:rFonts w:ascii="Arial" w:eastAsia="Arial" w:hAnsi="Arial" w:cs="Arial"/>
                <w:color w:val="000000"/>
              </w:rPr>
              <w:t xml:space="preserve">This opportunity is advertised in the Find a Tender Service Notice </w:t>
            </w:r>
            <w:r>
              <w:rPr>
                <w:rFonts w:ascii="Arial" w:eastAsia="Arial" w:hAnsi="Arial" w:cs="Arial"/>
                <w:color w:val="000000"/>
                <w:highlight w:val="white"/>
              </w:rPr>
              <w:t>2024/S 000-019973</w:t>
            </w:r>
            <w:r>
              <w:rPr>
                <w:rFonts w:ascii="Arial" w:eastAsia="Arial" w:hAnsi="Arial" w:cs="Arial"/>
                <w:color w:val="000000"/>
              </w:rPr>
              <w:t xml:space="preserve"> (FTS Contract Notice).</w:t>
            </w:r>
          </w:p>
          <w:p w:rsidR="0070753C" w:rsidRDefault="0070753C">
            <w:pPr>
              <w:pBdr>
                <w:top w:val="nil"/>
                <w:left w:val="nil"/>
                <w:bottom w:val="nil"/>
                <w:right w:val="nil"/>
                <w:between w:val="nil"/>
              </w:pBdr>
              <w:rPr>
                <w:rFonts w:ascii="Arial" w:eastAsia="Arial" w:hAnsi="Arial" w:cs="Arial"/>
                <w:b/>
                <w:color w:val="000000"/>
              </w:rPr>
            </w:pP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4</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Deliverables </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See Framework Schedule 1 (Specification) for further details.</w:t>
            </w:r>
          </w:p>
          <w:p w:rsidR="0070753C" w:rsidRDefault="0070753C">
            <w:pPr>
              <w:pBdr>
                <w:top w:val="nil"/>
                <w:left w:val="nil"/>
                <w:bottom w:val="nil"/>
                <w:right w:val="nil"/>
                <w:between w:val="nil"/>
              </w:pBdr>
              <w:rPr>
                <w:rFonts w:ascii="Arial" w:eastAsia="Arial" w:hAnsi="Arial" w:cs="Arial"/>
                <w:b/>
                <w:color w:val="000000"/>
              </w:rPr>
            </w:pP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5</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Start Date</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rPr>
            </w:pPr>
            <w:r>
              <w:rPr>
                <w:rFonts w:ascii="Arial" w:eastAsia="Arial" w:hAnsi="Arial" w:cs="Arial"/>
                <w:color w:val="222222"/>
                <w:highlight w:val="white"/>
              </w:rPr>
              <w:t>29</w:t>
            </w:r>
            <w:r>
              <w:rPr>
                <w:rFonts w:ascii="Arial" w:eastAsia="Arial" w:hAnsi="Arial" w:cs="Arial"/>
                <w:color w:val="222222"/>
                <w:highlight w:val="white"/>
                <w:vertAlign w:val="superscript"/>
              </w:rPr>
              <w:t>th</w:t>
            </w:r>
            <w:r>
              <w:rPr>
                <w:rFonts w:ascii="Arial" w:eastAsia="Arial" w:hAnsi="Arial" w:cs="Arial"/>
                <w:color w:val="222222"/>
                <w:highlight w:val="white"/>
              </w:rPr>
              <w:t xml:space="preserve"> October 2024</w:t>
            </w: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6</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Expiry Date</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rPr>
            </w:pPr>
            <w:r>
              <w:rPr>
                <w:rFonts w:ascii="Arial" w:eastAsia="Arial" w:hAnsi="Arial" w:cs="Arial"/>
                <w:color w:val="222222"/>
                <w:highlight w:val="white"/>
              </w:rPr>
              <w:t>28</w:t>
            </w:r>
            <w:r>
              <w:rPr>
                <w:rFonts w:ascii="Arial" w:eastAsia="Arial" w:hAnsi="Arial" w:cs="Arial"/>
                <w:color w:val="222222"/>
                <w:highlight w:val="white"/>
                <w:vertAlign w:val="superscript"/>
              </w:rPr>
              <w:t>th</w:t>
            </w:r>
            <w:r>
              <w:rPr>
                <w:rFonts w:ascii="Arial" w:eastAsia="Arial" w:hAnsi="Arial" w:cs="Arial"/>
                <w:color w:val="222222"/>
                <w:highlight w:val="white"/>
              </w:rPr>
              <w:t xml:space="preserve"> October 2028</w:t>
            </w: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7</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Optional Extension Period</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rPr>
            </w:pPr>
            <w:r>
              <w:rPr>
                <w:rFonts w:ascii="Arial" w:eastAsia="Arial" w:hAnsi="Arial" w:cs="Arial"/>
                <w:color w:val="000000"/>
              </w:rPr>
              <w:t>Not applicable</w:t>
            </w:r>
          </w:p>
        </w:tc>
        <w:bookmarkStart w:id="0" w:name="_GoBack"/>
        <w:bookmarkEnd w:id="0"/>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8</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Order Procedure</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color w:val="000000"/>
              </w:rPr>
            </w:pPr>
            <w:r>
              <w:rPr>
                <w:rFonts w:ascii="Arial" w:eastAsia="Arial" w:hAnsi="Arial" w:cs="Arial"/>
              </w:rPr>
              <w:t>Further competition only</w:t>
            </w:r>
          </w:p>
          <w:p w:rsidR="0070753C" w:rsidRDefault="0070753C">
            <w:pPr>
              <w:pBdr>
                <w:top w:val="nil"/>
                <w:left w:val="nil"/>
                <w:bottom w:val="nil"/>
                <w:right w:val="nil"/>
                <w:between w:val="nil"/>
              </w:pBdr>
              <w:rPr>
                <w:rFonts w:ascii="Arial" w:eastAsia="Arial" w:hAnsi="Arial" w:cs="Arial"/>
                <w:b/>
                <w:color w:val="000000"/>
              </w:rPr>
            </w:pP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9</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Framework Incorporated Terms </w:t>
            </w:r>
          </w:p>
          <w:p w:rsidR="0070753C" w:rsidRDefault="0070753C">
            <w:pPr>
              <w:pBdr>
                <w:top w:val="nil"/>
                <w:left w:val="nil"/>
                <w:bottom w:val="nil"/>
                <w:right w:val="nil"/>
                <w:between w:val="nil"/>
              </w:pBdr>
              <w:rPr>
                <w:rFonts w:ascii="Arial" w:eastAsia="Arial" w:hAnsi="Arial" w:cs="Arial"/>
                <w:b/>
                <w:color w:val="000000"/>
                <w:sz w:val="22"/>
                <w:szCs w:val="22"/>
              </w:rPr>
            </w:pPr>
          </w:p>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lastRenderedPageBreak/>
              <w:t>(together these documents form the ‘the Framework Contract’)</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The following documents are incorporated into the Framework Contract. Where numbers are missing we are not using these schedules. If the documents conflict, the following order of precedence app</w:t>
            </w:r>
            <w:r>
              <w:rPr>
                <w:rFonts w:ascii="Arial" w:eastAsia="Arial" w:hAnsi="Arial" w:cs="Arial"/>
                <w:color w:val="000000"/>
              </w:rPr>
              <w:t>lies:</w:t>
            </w:r>
          </w:p>
          <w:p w:rsidR="0070753C" w:rsidRDefault="00F815C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This Framework Award Form</w:t>
            </w:r>
          </w:p>
          <w:p w:rsidR="0070753C" w:rsidRDefault="00F815C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Any Framework Special Terms (see Section 10 ‘Framework Special Terms’ in this Framework Award Form)</w:t>
            </w:r>
          </w:p>
          <w:p w:rsidR="0070753C" w:rsidRDefault="00F815C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Joint Schedule 1 (Definitions) RM6349 </w:t>
            </w:r>
          </w:p>
          <w:p w:rsidR="0070753C" w:rsidRDefault="00F815C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Joint Schedule 11 (Processing Data) RM6349</w:t>
            </w:r>
          </w:p>
          <w:p w:rsidR="0070753C" w:rsidRDefault="00F815C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following Schedules for RM6349 (in equal order of precedence): </w:t>
            </w:r>
          </w:p>
          <w:p w:rsidR="0070753C" w:rsidRDefault="00F815CA">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Framework Schedule 1 (Specification)</w:t>
            </w:r>
          </w:p>
          <w:p w:rsidR="0070753C" w:rsidRDefault="00F815CA">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Framework Schedule 3 (Framework Prices)</w:t>
            </w:r>
          </w:p>
          <w:p w:rsidR="0070753C" w:rsidRDefault="00F815CA">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Framework Schedule 4 (Framework Management) </w:t>
            </w:r>
          </w:p>
          <w:p w:rsidR="0070753C" w:rsidRDefault="00F815CA">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Framework Schedule 5 (Management Charges and Information)</w:t>
            </w:r>
          </w:p>
          <w:p w:rsidR="0070753C" w:rsidRDefault="00F815CA">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Framewor</w:t>
            </w:r>
            <w:r>
              <w:rPr>
                <w:rFonts w:ascii="Arial" w:eastAsia="Arial" w:hAnsi="Arial" w:cs="Arial"/>
                <w:color w:val="000000"/>
              </w:rPr>
              <w:t xml:space="preserve">k Schedule 6 (Order Form Template and Call-Off Schedules) including the following template Call-Off Schedules: </w:t>
            </w:r>
          </w:p>
          <w:p w:rsidR="0070753C" w:rsidRDefault="0070753C">
            <w:pPr>
              <w:pBdr>
                <w:top w:val="nil"/>
                <w:left w:val="nil"/>
                <w:bottom w:val="nil"/>
                <w:right w:val="nil"/>
                <w:between w:val="nil"/>
              </w:pBdr>
              <w:ind w:left="413"/>
              <w:rPr>
                <w:rFonts w:ascii="Arial" w:eastAsia="Arial" w:hAnsi="Arial" w:cs="Arial"/>
                <w:color w:val="000000"/>
              </w:rPr>
            </w:pP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1 (Transparency Reports)</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2 (Staff Transfer)</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3 (Continuous Improvement)</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4 (Call-Off Tender)</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5 (Pricing Details)</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6 (ICT Services)</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7 (Key Supplier Staff)</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8 (Business Continuity and Disaster Recovery)</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9 (Security</w:t>
            </w:r>
            <w:r>
              <w:rPr>
                <w:rFonts w:ascii="Arial" w:eastAsia="Arial" w:hAnsi="Arial" w:cs="Arial"/>
              </w:rPr>
              <w:t>)</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Call-Off </w:t>
            </w:r>
            <w:r>
              <w:rPr>
                <w:rFonts w:ascii="Arial" w:eastAsia="Arial" w:hAnsi="Arial" w:cs="Arial"/>
                <w:color w:val="000000"/>
              </w:rPr>
              <w:t>Schedule 10 (Exit Management)</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12 (Clustering)</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13 (Implementation Plan and Testing)</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14 (Service Levels)</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15 (Call-Off Contract Management)</w:t>
            </w:r>
          </w:p>
          <w:p w:rsidR="0070753C" w:rsidRDefault="00F815CA">
            <w:pPr>
              <w:numPr>
                <w:ilvl w:val="0"/>
                <w:numId w:val="1"/>
              </w:numPr>
              <w:pBdr>
                <w:top w:val="nil"/>
                <w:left w:val="nil"/>
                <w:bottom w:val="nil"/>
                <w:right w:val="nil"/>
                <w:between w:val="nil"/>
              </w:pBdr>
              <w:rPr>
                <w:color w:val="000000"/>
              </w:rPr>
            </w:pPr>
            <w:r>
              <w:rPr>
                <w:rFonts w:ascii="Arial" w:eastAsia="Arial" w:hAnsi="Arial" w:cs="Arial"/>
                <w:color w:val="000000"/>
              </w:rPr>
              <w:t>Call-Off Schedule 17 (MOD Terms)</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18 (Background Checks)</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19 (Scottish Law)</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20 (Call-Off Specification)</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21 (Northern Ireland Law)</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23 (HMRC Terms)</w:t>
            </w:r>
          </w:p>
          <w:p w:rsidR="0070753C" w:rsidRDefault="00F815CA">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24 (Corporate Resolution Planning)</w:t>
            </w:r>
          </w:p>
          <w:p w:rsidR="0070753C" w:rsidRDefault="00F815CA">
            <w:pPr>
              <w:numPr>
                <w:ilvl w:val="0"/>
                <w:numId w:val="1"/>
              </w:numPr>
              <w:pBdr>
                <w:top w:val="nil"/>
                <w:left w:val="nil"/>
                <w:bottom w:val="nil"/>
                <w:right w:val="nil"/>
                <w:between w:val="nil"/>
              </w:pBdr>
              <w:rPr>
                <w:rFonts w:ascii="Arial" w:eastAsia="Arial" w:hAnsi="Arial" w:cs="Arial"/>
              </w:rPr>
            </w:pPr>
            <w:r>
              <w:rPr>
                <w:rFonts w:ascii="Arial" w:eastAsia="Arial" w:hAnsi="Arial" w:cs="Arial"/>
              </w:rPr>
              <w:t>Ca</w:t>
            </w:r>
            <w:r>
              <w:rPr>
                <w:rFonts w:ascii="Arial" w:eastAsia="Arial" w:hAnsi="Arial" w:cs="Arial"/>
              </w:rPr>
              <w:t>ll-Off Schedule 25 (Special Schedule – Lots 1 to 4)</w:t>
            </w:r>
          </w:p>
          <w:p w:rsidR="0070753C" w:rsidRDefault="00F815CA">
            <w:pPr>
              <w:numPr>
                <w:ilvl w:val="0"/>
                <w:numId w:val="1"/>
              </w:numPr>
              <w:pBdr>
                <w:top w:val="nil"/>
                <w:left w:val="nil"/>
                <w:bottom w:val="nil"/>
                <w:right w:val="nil"/>
                <w:between w:val="nil"/>
              </w:pBdr>
              <w:rPr>
                <w:rFonts w:ascii="Arial" w:eastAsia="Arial" w:hAnsi="Arial" w:cs="Arial"/>
              </w:rPr>
            </w:pPr>
            <w:r>
              <w:rPr>
                <w:rFonts w:ascii="Arial" w:eastAsia="Arial" w:hAnsi="Arial" w:cs="Arial"/>
              </w:rPr>
              <w:t xml:space="preserve">Call-Off </w:t>
            </w:r>
            <w:r>
              <w:rPr>
                <w:rFonts w:ascii="Arial" w:eastAsia="Arial" w:hAnsi="Arial" w:cs="Arial"/>
                <w:color w:val="000000"/>
              </w:rPr>
              <w:t>Schedule</w:t>
            </w:r>
            <w:r>
              <w:rPr>
                <w:rFonts w:ascii="Arial" w:eastAsia="Arial" w:hAnsi="Arial" w:cs="Arial"/>
              </w:rPr>
              <w:t xml:space="preserve"> 26 (Special Schedule – Lot 5)</w:t>
            </w:r>
          </w:p>
          <w:p w:rsidR="0070753C" w:rsidRDefault="0070753C">
            <w:pPr>
              <w:pBdr>
                <w:top w:val="nil"/>
                <w:left w:val="nil"/>
                <w:bottom w:val="nil"/>
                <w:right w:val="nil"/>
                <w:between w:val="nil"/>
              </w:pBdr>
              <w:spacing w:line="259" w:lineRule="auto"/>
              <w:ind w:left="1440"/>
              <w:rPr>
                <w:rFonts w:ascii="Arial" w:eastAsia="Arial" w:hAnsi="Arial" w:cs="Arial"/>
              </w:rPr>
            </w:pPr>
          </w:p>
          <w:p w:rsidR="0070753C" w:rsidRDefault="00F815CA">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Framework Schedule 7 (Call-Off Award Procedure)</w:t>
            </w:r>
          </w:p>
          <w:p w:rsidR="0070753C" w:rsidRDefault="00F815CA">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Framework Schedule 8 (Self Audit Certificate)</w:t>
            </w:r>
          </w:p>
          <w:p w:rsidR="0070753C" w:rsidRDefault="00F815CA">
            <w:pPr>
              <w:numPr>
                <w:ilvl w:val="0"/>
                <w:numId w:val="2"/>
              </w:numPr>
              <w:pBdr>
                <w:top w:val="nil"/>
                <w:left w:val="nil"/>
                <w:bottom w:val="nil"/>
                <w:right w:val="nil"/>
                <w:between w:val="nil"/>
              </w:pBdr>
              <w:rPr>
                <w:color w:val="000000"/>
              </w:rPr>
            </w:pPr>
            <w:r>
              <w:rPr>
                <w:rFonts w:ascii="Arial" w:eastAsia="Arial" w:hAnsi="Arial" w:cs="Arial"/>
                <w:color w:val="000000"/>
              </w:rPr>
              <w:t>Framework Schedule 9 (Cyber Essentials Scheme)</w:t>
            </w:r>
          </w:p>
          <w:p w:rsidR="0070753C" w:rsidRDefault="00F815CA">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 xml:space="preserve">Joint Schedule 2 (Variation Form) </w:t>
            </w:r>
          </w:p>
          <w:p w:rsidR="0070753C" w:rsidRDefault="00F815CA">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Joint Schedule 3 (Insurance Requirements) </w:t>
            </w:r>
          </w:p>
          <w:p w:rsidR="0070753C" w:rsidRDefault="00F815CA">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Joint Schedule 4 (Commercially Sensitive Information)</w:t>
            </w:r>
          </w:p>
          <w:p w:rsidR="0070753C" w:rsidRDefault="00F815CA">
            <w:pPr>
              <w:numPr>
                <w:ilvl w:val="0"/>
                <w:numId w:val="2"/>
              </w:numPr>
              <w:pBdr>
                <w:top w:val="nil"/>
                <w:left w:val="nil"/>
                <w:bottom w:val="nil"/>
                <w:right w:val="nil"/>
                <w:between w:val="nil"/>
              </w:pBdr>
              <w:rPr>
                <w:color w:val="000000"/>
              </w:rPr>
            </w:pPr>
            <w:r>
              <w:rPr>
                <w:rFonts w:ascii="Arial" w:eastAsia="Arial" w:hAnsi="Arial" w:cs="Arial"/>
                <w:color w:val="000000"/>
              </w:rPr>
              <w:t xml:space="preserve">Joint Schedule 6 (Key Subcontractors) </w:t>
            </w:r>
          </w:p>
          <w:p w:rsidR="0070753C" w:rsidRDefault="00F815CA">
            <w:pPr>
              <w:numPr>
                <w:ilvl w:val="0"/>
                <w:numId w:val="2"/>
              </w:numPr>
              <w:pBdr>
                <w:top w:val="nil"/>
                <w:left w:val="nil"/>
                <w:bottom w:val="nil"/>
                <w:right w:val="nil"/>
                <w:between w:val="nil"/>
              </w:pBdr>
              <w:rPr>
                <w:color w:val="000000"/>
              </w:rPr>
            </w:pPr>
            <w:r>
              <w:rPr>
                <w:rFonts w:ascii="Arial" w:eastAsia="Arial" w:hAnsi="Arial" w:cs="Arial"/>
                <w:color w:val="000000"/>
              </w:rPr>
              <w:t xml:space="preserve">Joint Schedule 7 (Financial Difficulties] </w:t>
            </w:r>
          </w:p>
          <w:p w:rsidR="0070753C" w:rsidRDefault="00F815CA">
            <w:pPr>
              <w:numPr>
                <w:ilvl w:val="0"/>
                <w:numId w:val="2"/>
              </w:numPr>
              <w:pBdr>
                <w:top w:val="nil"/>
                <w:left w:val="nil"/>
                <w:bottom w:val="nil"/>
                <w:right w:val="nil"/>
                <w:between w:val="nil"/>
              </w:pBdr>
              <w:rPr>
                <w:color w:val="000000"/>
              </w:rPr>
            </w:pPr>
            <w:r>
              <w:rPr>
                <w:rFonts w:ascii="Arial" w:eastAsia="Arial" w:hAnsi="Arial" w:cs="Arial"/>
                <w:color w:val="000000"/>
              </w:rPr>
              <w:t>Joint Schedule 8 (Guarantee)</w:t>
            </w:r>
          </w:p>
          <w:p w:rsidR="0070753C" w:rsidRDefault="00F815CA">
            <w:pPr>
              <w:numPr>
                <w:ilvl w:val="0"/>
                <w:numId w:val="2"/>
              </w:numPr>
              <w:pBdr>
                <w:top w:val="nil"/>
                <w:left w:val="nil"/>
                <w:bottom w:val="nil"/>
                <w:right w:val="nil"/>
                <w:between w:val="nil"/>
              </w:pBdr>
              <w:rPr>
                <w:color w:val="000000"/>
              </w:rPr>
            </w:pPr>
            <w:r>
              <w:rPr>
                <w:rFonts w:ascii="Arial" w:eastAsia="Arial" w:hAnsi="Arial" w:cs="Arial"/>
                <w:color w:val="000000"/>
              </w:rPr>
              <w:t>Joint Schedule 9 (Minimum Standards of Reliability)</w:t>
            </w:r>
          </w:p>
          <w:p w:rsidR="0070753C" w:rsidRDefault="00F815CA">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Joint Schedule 10 (Rectification Plan)</w:t>
            </w:r>
          </w:p>
          <w:p w:rsidR="0070753C" w:rsidRDefault="00F815CA">
            <w:pPr>
              <w:numPr>
                <w:ilvl w:val="0"/>
                <w:numId w:val="2"/>
              </w:numPr>
              <w:pBdr>
                <w:top w:val="nil"/>
                <w:left w:val="nil"/>
                <w:bottom w:val="nil"/>
                <w:right w:val="nil"/>
                <w:between w:val="nil"/>
              </w:pBdr>
              <w:rPr>
                <w:color w:val="000000"/>
              </w:rPr>
            </w:pPr>
            <w:r>
              <w:rPr>
                <w:rFonts w:ascii="Arial" w:eastAsia="Arial" w:hAnsi="Arial" w:cs="Arial"/>
                <w:color w:val="000000"/>
              </w:rPr>
              <w:t>Joint Schedule 12 (Supply Chain Visibility)</w:t>
            </w:r>
          </w:p>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6. CCS Core Terms (version 3.0.11) </w:t>
            </w:r>
          </w:p>
          <w:p w:rsidR="0070753C" w:rsidRDefault="00F815CA">
            <w:pPr>
              <w:pBdr>
                <w:top w:val="nil"/>
                <w:left w:val="nil"/>
                <w:bottom w:val="nil"/>
                <w:right w:val="nil"/>
                <w:between w:val="nil"/>
              </w:pBdr>
              <w:rPr>
                <w:color w:val="000000"/>
              </w:rPr>
            </w:pPr>
            <w:r>
              <w:rPr>
                <w:rFonts w:ascii="Arial" w:eastAsia="Arial" w:hAnsi="Arial" w:cs="Arial"/>
                <w:color w:val="000000"/>
              </w:rPr>
              <w:t xml:space="preserve">7. Joint Schedule 5 (Corporate Social Responsibility) RM6349 </w:t>
            </w:r>
          </w:p>
          <w:p w:rsidR="0070753C" w:rsidRDefault="00F815CA">
            <w:pPr>
              <w:pBdr>
                <w:top w:val="nil"/>
                <w:left w:val="nil"/>
                <w:bottom w:val="nil"/>
                <w:right w:val="nil"/>
                <w:between w:val="nil"/>
              </w:pBdr>
              <w:rPr>
                <w:color w:val="000000"/>
              </w:rPr>
            </w:pPr>
            <w:r>
              <w:rPr>
                <w:rFonts w:ascii="Arial" w:eastAsia="Arial" w:hAnsi="Arial" w:cs="Arial"/>
                <w:color w:val="000000"/>
              </w:rPr>
              <w:t>8. Framework Schedule 2</w:t>
            </w:r>
            <w:r>
              <w:rPr>
                <w:rFonts w:ascii="Arial" w:eastAsia="Arial" w:hAnsi="Arial" w:cs="Arial"/>
                <w:color w:val="000000"/>
              </w:rPr>
              <w:t xml:space="preserve"> (Framework Tender) RM6349 as long as any part of the Framework Tender that offers a better commercial position for CCS or Buyers (as decided by CCS) take precedence over the documents above </w:t>
            </w:r>
          </w:p>
          <w:p w:rsidR="0070753C" w:rsidRDefault="0070753C">
            <w:pPr>
              <w:pBdr>
                <w:top w:val="nil"/>
                <w:left w:val="nil"/>
                <w:bottom w:val="nil"/>
                <w:right w:val="nil"/>
                <w:between w:val="nil"/>
              </w:pBdr>
              <w:rPr>
                <w:rFonts w:ascii="Arial" w:eastAsia="Arial" w:hAnsi="Arial" w:cs="Arial"/>
                <w:color w:val="000000"/>
              </w:rPr>
            </w:pPr>
          </w:p>
        </w:tc>
      </w:tr>
      <w:tr w:rsidR="0070753C">
        <w:trPr>
          <w:trHeight w:val="1058"/>
        </w:trPr>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lastRenderedPageBreak/>
              <w:t>10</w:t>
            </w:r>
          </w:p>
        </w:tc>
        <w:tc>
          <w:tcPr>
            <w:tcW w:w="1980" w:type="dxa"/>
            <w:vMerge w:val="restart"/>
            <w:tcBorders>
              <w:top w:val="single" w:sz="4" w:space="0" w:color="000000"/>
              <w:left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Special Terms</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rPr>
            </w:pPr>
            <w:r w:rsidRPr="00311E97">
              <w:rPr>
                <w:rFonts w:ascii="Arial" w:eastAsia="Arial" w:hAnsi="Arial" w:cs="Arial"/>
                <w:b/>
              </w:rPr>
              <w:t>[Guidance note: the following Section 10 (Framework Special Terms) shall be read in conjunction with the Core Terms. In accordance with Joint Schedule 1 (Definitions), references to "Clauses" and "Schedules" shall mean the clauses and schedules of the Core</w:t>
            </w:r>
            <w:r w:rsidRPr="00311E97">
              <w:rPr>
                <w:rFonts w:ascii="Arial" w:eastAsia="Arial" w:hAnsi="Arial" w:cs="Arial"/>
                <w:b/>
              </w:rPr>
              <w:t xml:space="preserve"> Terms, and any references to "Paragraphs" are references to the paragraph of the appropriate Schedule.]</w:t>
            </w:r>
            <w:r>
              <w:rPr>
                <w:rFonts w:ascii="Arial" w:eastAsia="Arial" w:hAnsi="Arial" w:cs="Arial"/>
                <w:b/>
              </w:rPr>
              <w:t xml:space="preserve"> </w:t>
            </w:r>
          </w:p>
          <w:p w:rsidR="0070753C" w:rsidRDefault="0070753C">
            <w:pPr>
              <w:pBdr>
                <w:top w:val="nil"/>
                <w:left w:val="nil"/>
                <w:bottom w:val="nil"/>
                <w:right w:val="nil"/>
                <w:between w:val="nil"/>
              </w:pBdr>
              <w:rPr>
                <w:rFonts w:ascii="Arial" w:eastAsia="Arial" w:hAnsi="Arial" w:cs="Arial"/>
                <w:b/>
              </w:rPr>
            </w:pPr>
          </w:p>
          <w:p w:rsidR="0070753C" w:rsidRDefault="00F815CA">
            <w:pPr>
              <w:pBdr>
                <w:top w:val="nil"/>
                <w:left w:val="nil"/>
                <w:bottom w:val="nil"/>
                <w:right w:val="nil"/>
                <w:between w:val="nil"/>
              </w:pBdr>
              <w:rPr>
                <w:rFonts w:ascii="Arial" w:eastAsia="Arial" w:hAnsi="Arial" w:cs="Arial"/>
              </w:rPr>
            </w:pPr>
            <w:r>
              <w:rPr>
                <w:rFonts w:ascii="Arial" w:eastAsia="Arial" w:hAnsi="Arial" w:cs="Arial"/>
              </w:rPr>
              <w:t>The following Clauses in the Core Terms shall be deleted and replaced as follows:</w:t>
            </w:r>
          </w:p>
          <w:p w:rsidR="0070753C" w:rsidRDefault="0070753C">
            <w:pPr>
              <w:pBdr>
                <w:top w:val="nil"/>
                <w:left w:val="nil"/>
                <w:bottom w:val="nil"/>
                <w:right w:val="nil"/>
                <w:between w:val="nil"/>
              </w:pBdr>
              <w:rPr>
                <w:rFonts w:ascii="Arial" w:eastAsia="Arial" w:hAnsi="Arial" w:cs="Arial"/>
              </w:rPr>
            </w:pPr>
          </w:p>
          <w:p w:rsidR="0070753C" w:rsidRDefault="00F815CA">
            <w:pPr>
              <w:numPr>
                <w:ilvl w:val="0"/>
                <w:numId w:val="5"/>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Special Term 1 – Clause 3.3.1: Late Delivery of the Services may constitute a Default of a Call-Off Contract at the Buyer's discretion.</w:t>
            </w:r>
          </w:p>
          <w:p w:rsidR="0070753C" w:rsidRDefault="00F815CA">
            <w:pPr>
              <w:numPr>
                <w:ilvl w:val="0"/>
                <w:numId w:val="5"/>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Special Term 2 – Clause 4.9: If the Buyer can get more favourable commercial terms for the supply at cost of any materia</w:t>
            </w:r>
            <w:r>
              <w:rPr>
                <w:rFonts w:ascii="Arial" w:eastAsia="Arial" w:hAnsi="Arial" w:cs="Arial"/>
                <w:color w:val="000000"/>
              </w:rPr>
              <w:t>ls, goods or services used by the Supplier to provide the Deliverables, then the Buyer may require the Supplier to replace its existing commercial terms with the more favourable terms offered for the relevant items, provided that the Deliverables comply wi</w:t>
            </w:r>
            <w:r>
              <w:rPr>
                <w:rFonts w:ascii="Arial" w:eastAsia="Arial" w:hAnsi="Arial" w:cs="Arial"/>
                <w:color w:val="000000"/>
              </w:rPr>
              <w:t>th the Specification.</w:t>
            </w:r>
          </w:p>
          <w:p w:rsidR="0070753C" w:rsidRDefault="00F815CA">
            <w:pPr>
              <w:numPr>
                <w:ilvl w:val="0"/>
                <w:numId w:val="5"/>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 xml:space="preserve">Special Term 3 – Clause 10.1.2: The Relevant Authority can extend the Contract for the Extension Period by giving </w:t>
            </w:r>
            <w:r>
              <w:rPr>
                <w:rFonts w:ascii="Arial" w:eastAsia="Arial" w:hAnsi="Arial" w:cs="Arial"/>
                <w:color w:val="000000"/>
              </w:rPr>
              <w:lastRenderedPageBreak/>
              <w:t>the Supplier no less than 6 Months' written notice before the Contract expires.</w:t>
            </w:r>
          </w:p>
          <w:p w:rsidR="0070753C" w:rsidRDefault="00F815CA">
            <w:pPr>
              <w:numPr>
                <w:ilvl w:val="0"/>
                <w:numId w:val="5"/>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 xml:space="preserve">Special Term 4 – Clause 10.2.1: CCS has </w:t>
            </w:r>
            <w:r>
              <w:rPr>
                <w:rFonts w:ascii="Arial" w:eastAsia="Arial" w:hAnsi="Arial" w:cs="Arial"/>
                <w:color w:val="000000"/>
              </w:rPr>
              <w:t xml:space="preserve">the right to terminate the Framework Contract at any time without reason by giving the Supplier at least 90 days' notice. </w:t>
            </w:r>
          </w:p>
          <w:p w:rsidR="0070753C" w:rsidRDefault="00F815CA">
            <w:pPr>
              <w:pBdr>
                <w:top w:val="nil"/>
                <w:left w:val="nil"/>
                <w:bottom w:val="nil"/>
                <w:right w:val="nil"/>
                <w:between w:val="nil"/>
              </w:pBdr>
              <w:spacing w:after="200" w:line="276" w:lineRule="auto"/>
              <w:ind w:left="720"/>
              <w:rPr>
                <w:rFonts w:ascii="Arial" w:eastAsia="Arial" w:hAnsi="Arial" w:cs="Arial"/>
                <w:color w:val="000000"/>
              </w:rPr>
            </w:pPr>
            <w:r w:rsidRPr="00311E97">
              <w:rPr>
                <w:rFonts w:ascii="Arial" w:eastAsia="Arial" w:hAnsi="Arial" w:cs="Arial"/>
                <w:b/>
                <w:i/>
                <w:color w:val="000000"/>
              </w:rPr>
              <w:t>[Guidance Note: if CCS exercises its right under Clause 10.2.1 to terminate the Framework Contract, existing Call-Off Contracts that were awarded before the Framework Contract was terminated will remain in force.]</w:t>
            </w:r>
          </w:p>
          <w:p w:rsidR="0070753C" w:rsidRDefault="00F815CA">
            <w:pPr>
              <w:numPr>
                <w:ilvl w:val="0"/>
                <w:numId w:val="5"/>
              </w:numPr>
              <w:pBdr>
                <w:top w:val="nil"/>
                <w:left w:val="nil"/>
                <w:bottom w:val="nil"/>
                <w:right w:val="nil"/>
                <w:between w:val="nil"/>
              </w:pBdr>
              <w:spacing w:after="200" w:line="276" w:lineRule="auto"/>
              <w:rPr>
                <w:rFonts w:ascii="Arial" w:eastAsia="Arial" w:hAnsi="Arial" w:cs="Arial"/>
              </w:rPr>
            </w:pPr>
            <w:r>
              <w:rPr>
                <w:rFonts w:ascii="Arial" w:eastAsia="Arial" w:hAnsi="Arial" w:cs="Arial"/>
                <w:color w:val="000000"/>
              </w:rPr>
              <w:t>Special Term 5 – Clause 10.2.2: Each Buyer</w:t>
            </w:r>
            <w:r>
              <w:rPr>
                <w:rFonts w:ascii="Arial" w:eastAsia="Arial" w:hAnsi="Arial" w:cs="Arial"/>
                <w:color w:val="000000"/>
              </w:rPr>
              <w:t xml:space="preserve"> has the right to terminate its Call-Off Contract at any time without reason after the first anniversary of the Call-Off Contract, by giving the Supplier not less than 18 months' written notice.</w:t>
            </w:r>
          </w:p>
          <w:p w:rsidR="0070753C" w:rsidRDefault="00F815CA">
            <w:pPr>
              <w:pBdr>
                <w:top w:val="nil"/>
                <w:left w:val="nil"/>
                <w:bottom w:val="nil"/>
                <w:right w:val="nil"/>
                <w:between w:val="nil"/>
              </w:pBdr>
              <w:spacing w:after="200" w:line="276" w:lineRule="auto"/>
              <w:rPr>
                <w:rFonts w:ascii="Arial" w:eastAsia="Arial" w:hAnsi="Arial" w:cs="Arial"/>
              </w:rPr>
            </w:pPr>
            <w:r>
              <w:rPr>
                <w:rFonts w:ascii="Arial" w:eastAsia="Arial" w:hAnsi="Arial" w:cs="Arial"/>
              </w:rPr>
              <w:t>The following clauses shall be inserted into the Core Terms:</w:t>
            </w:r>
          </w:p>
          <w:p w:rsidR="0070753C" w:rsidRDefault="00F815CA">
            <w:pPr>
              <w:numPr>
                <w:ilvl w:val="0"/>
                <w:numId w:val="5"/>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 xml:space="preserve">Special Term 6 – Clause 10.4.4: The Buyer may terminate a Call-Off Contract or a Service by written notice to the Supplier with immediate effect if the Supplier:   </w:t>
            </w:r>
          </w:p>
          <w:p w:rsidR="0070753C" w:rsidRDefault="00F815CA">
            <w:pPr>
              <w:pBdr>
                <w:top w:val="nil"/>
                <w:left w:val="nil"/>
                <w:bottom w:val="nil"/>
                <w:right w:val="nil"/>
                <w:between w:val="nil"/>
              </w:pBdr>
              <w:spacing w:after="200" w:line="276" w:lineRule="auto"/>
              <w:ind w:left="720"/>
              <w:rPr>
                <w:rFonts w:ascii="Arial" w:eastAsia="Arial" w:hAnsi="Arial" w:cs="Arial"/>
                <w:color w:val="000000"/>
              </w:rPr>
            </w:pPr>
            <w:r>
              <w:rPr>
                <w:rFonts w:ascii="Arial" w:eastAsia="Arial" w:hAnsi="Arial" w:cs="Arial"/>
                <w:color w:val="000000"/>
              </w:rPr>
              <w:t>(a) repeatedly breaches any of the terms and conditions of the Call-Off Contract in such a manner as to indicate that it does not have the intention or ability to adhere to the Call-Off Contract; or</w:t>
            </w:r>
          </w:p>
          <w:p w:rsidR="0070753C" w:rsidRDefault="00F815CA">
            <w:pPr>
              <w:pBdr>
                <w:top w:val="nil"/>
                <w:left w:val="nil"/>
                <w:bottom w:val="nil"/>
                <w:right w:val="nil"/>
                <w:between w:val="nil"/>
              </w:pBdr>
              <w:spacing w:after="200" w:line="276" w:lineRule="auto"/>
              <w:ind w:left="720"/>
              <w:rPr>
                <w:rFonts w:ascii="Arial" w:eastAsia="Arial" w:hAnsi="Arial" w:cs="Arial"/>
                <w:color w:val="000000"/>
              </w:rPr>
            </w:pPr>
            <w:r>
              <w:rPr>
                <w:rFonts w:ascii="Arial" w:eastAsia="Arial" w:hAnsi="Arial" w:cs="Arial"/>
                <w:color w:val="000000"/>
              </w:rPr>
              <w:t xml:space="preserve">(b) fails to comply with its legal obligations. </w:t>
            </w:r>
          </w:p>
          <w:p w:rsidR="0070753C" w:rsidRDefault="00F815CA">
            <w:pPr>
              <w:numPr>
                <w:ilvl w:val="0"/>
                <w:numId w:val="5"/>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 xml:space="preserve">Special </w:t>
            </w:r>
            <w:r>
              <w:rPr>
                <w:rFonts w:ascii="Arial" w:eastAsia="Arial" w:hAnsi="Arial" w:cs="Arial"/>
                <w:color w:val="000000"/>
              </w:rPr>
              <w:t xml:space="preserve">Term 7 – Clause 10.4.5: The Buyer may issue a Reminder Notice if the Supplier does not pay the agreed payments under the Call-Off Contract on time. The Buyer can terminate a Call-Off Contract if the Supplier fails to pay the agreed undisputed payments due </w:t>
            </w:r>
            <w:r>
              <w:rPr>
                <w:rFonts w:ascii="Arial" w:eastAsia="Arial" w:hAnsi="Arial" w:cs="Arial"/>
                <w:color w:val="000000"/>
              </w:rPr>
              <w:t>and worth over 10% of the annual Contract Value within 30 days of the date of the Reminder Notice.</w:t>
            </w:r>
          </w:p>
          <w:p w:rsidR="0070753C" w:rsidRDefault="00F815CA">
            <w:pPr>
              <w:numPr>
                <w:ilvl w:val="0"/>
                <w:numId w:val="5"/>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lastRenderedPageBreak/>
              <w:t>Special Term 8: Clause 10.6.1(g): The Supplier and its staff will vacate any premises of the Buyer occupied for any purpose of providing the Services.</w:t>
            </w:r>
          </w:p>
          <w:p w:rsidR="0070753C" w:rsidRDefault="00F815CA">
            <w:pPr>
              <w:numPr>
                <w:ilvl w:val="0"/>
                <w:numId w:val="5"/>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Specia</w:t>
            </w:r>
            <w:r>
              <w:rPr>
                <w:rFonts w:ascii="Arial" w:eastAsia="Arial" w:hAnsi="Arial" w:cs="Arial"/>
                <w:color w:val="000000"/>
              </w:rPr>
              <w:t>l Term 9 – Clause 23.7: Notwithstanding any consent given by the Relevant Authority under Clause 23.1, the Supplier:</w:t>
            </w:r>
          </w:p>
          <w:p w:rsidR="0070753C" w:rsidRDefault="00F815CA">
            <w:pPr>
              <w:pBdr>
                <w:top w:val="nil"/>
                <w:left w:val="nil"/>
                <w:bottom w:val="nil"/>
                <w:right w:val="nil"/>
                <w:between w:val="nil"/>
              </w:pBdr>
              <w:spacing w:after="200" w:line="276" w:lineRule="auto"/>
              <w:ind w:left="720"/>
              <w:rPr>
                <w:rFonts w:ascii="Arial" w:eastAsia="Arial" w:hAnsi="Arial" w:cs="Arial"/>
                <w:color w:val="000000"/>
              </w:rPr>
            </w:pPr>
            <w:r>
              <w:rPr>
                <w:rFonts w:ascii="Arial" w:eastAsia="Arial" w:hAnsi="Arial" w:cs="Arial"/>
                <w:color w:val="000000"/>
              </w:rPr>
              <w:t>(a) will not be relieved of any of its liabilities or obligations under the Contract due to entering into any Sub-Contracts of its obligati</w:t>
            </w:r>
            <w:r>
              <w:rPr>
                <w:rFonts w:ascii="Arial" w:eastAsia="Arial" w:hAnsi="Arial" w:cs="Arial"/>
                <w:color w:val="000000"/>
              </w:rPr>
              <w:t>ons;</w:t>
            </w:r>
          </w:p>
          <w:p w:rsidR="0070753C" w:rsidRDefault="00F815CA">
            <w:pPr>
              <w:pBdr>
                <w:top w:val="nil"/>
                <w:left w:val="nil"/>
                <w:bottom w:val="nil"/>
                <w:right w:val="nil"/>
                <w:between w:val="nil"/>
              </w:pBdr>
              <w:spacing w:after="200" w:line="276" w:lineRule="auto"/>
              <w:ind w:left="720"/>
              <w:rPr>
                <w:rFonts w:ascii="Arial" w:eastAsia="Arial" w:hAnsi="Arial" w:cs="Arial"/>
                <w:color w:val="000000"/>
              </w:rPr>
            </w:pPr>
            <w:r>
              <w:rPr>
                <w:rFonts w:ascii="Arial" w:eastAsia="Arial" w:hAnsi="Arial" w:cs="Arial"/>
                <w:color w:val="000000"/>
              </w:rPr>
              <w:t>(b) will be liable to the Relevant Authority for the acts, omissions, defaults or negligence of each Subcontractor and their personnel as fully as if they were the acts, omissions, defaults or negligence of the Supplier; and</w:t>
            </w:r>
          </w:p>
          <w:p w:rsidR="0070753C" w:rsidRDefault="00F815CA">
            <w:pPr>
              <w:pBdr>
                <w:top w:val="nil"/>
                <w:left w:val="nil"/>
                <w:bottom w:val="nil"/>
                <w:right w:val="nil"/>
                <w:between w:val="nil"/>
              </w:pBdr>
              <w:spacing w:after="200" w:line="276" w:lineRule="auto"/>
              <w:ind w:left="720"/>
              <w:rPr>
                <w:rFonts w:ascii="Arial" w:eastAsia="Arial" w:hAnsi="Arial" w:cs="Arial"/>
                <w:color w:val="000000"/>
              </w:rPr>
            </w:pPr>
            <w:r>
              <w:rPr>
                <w:rFonts w:ascii="Arial" w:eastAsia="Arial" w:hAnsi="Arial" w:cs="Arial"/>
                <w:color w:val="000000"/>
              </w:rPr>
              <w:t>(c) acknowledges that a Su</w:t>
            </w:r>
            <w:r>
              <w:rPr>
                <w:rFonts w:ascii="Arial" w:eastAsia="Arial" w:hAnsi="Arial" w:cs="Arial"/>
                <w:color w:val="000000"/>
              </w:rPr>
              <w:t>bcontractor’s failure to perform does not excuse its failure to perform any part of the Contract.</w:t>
            </w:r>
          </w:p>
          <w:p w:rsidR="0070753C" w:rsidRDefault="00F815CA">
            <w:pPr>
              <w:numPr>
                <w:ilvl w:val="0"/>
                <w:numId w:val="5"/>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Special Term 10 – Clause 26.8: The Supplier shall indemnify the Buyer against all direct third party claims in the event that the Supplier is in breach of thi</w:t>
            </w:r>
            <w:r>
              <w:rPr>
                <w:rFonts w:ascii="Arial" w:eastAsia="Arial" w:hAnsi="Arial" w:cs="Arial"/>
                <w:color w:val="000000"/>
              </w:rPr>
              <w:t>s Call-Off Contract or performed any obligations negligently.</w:t>
            </w:r>
          </w:p>
          <w:p w:rsidR="0070753C" w:rsidRDefault="00F815CA">
            <w:pPr>
              <w:numPr>
                <w:ilvl w:val="0"/>
                <w:numId w:val="5"/>
              </w:numPr>
              <w:pBdr>
                <w:top w:val="nil"/>
                <w:left w:val="nil"/>
                <w:bottom w:val="nil"/>
                <w:right w:val="nil"/>
                <w:between w:val="nil"/>
              </w:pBdr>
              <w:spacing w:after="200" w:line="276" w:lineRule="auto"/>
              <w:rPr>
                <w:rFonts w:ascii="Arial" w:eastAsia="Arial" w:hAnsi="Arial" w:cs="Arial"/>
                <w:color w:val="000000"/>
              </w:rPr>
            </w:pPr>
            <w:bookmarkStart w:id="1" w:name="_heading=h.gjdgxs" w:colFirst="0" w:colLast="0"/>
            <w:bookmarkEnd w:id="1"/>
            <w:r>
              <w:rPr>
                <w:rFonts w:ascii="Arial" w:eastAsia="Arial" w:hAnsi="Arial" w:cs="Arial"/>
                <w:color w:val="000000"/>
              </w:rPr>
              <w:t xml:space="preserve">Special Term 11 – Clause 26.9: If a payment due from the Supplier under this Clause 26.9 is subject to tax (whether by way of direct assessment or withholding at its source), the Buyer shall be </w:t>
            </w:r>
            <w:r>
              <w:rPr>
                <w:rFonts w:ascii="Arial" w:eastAsia="Arial" w:hAnsi="Arial" w:cs="Arial"/>
                <w:color w:val="000000"/>
              </w:rPr>
              <w:t>entitled to receive from the Supplier such amounts as shall ensure that the net receipt, after tax, to the Buyer in respect of the payment is the same as it would have been were the payment not subject to tax.</w:t>
            </w:r>
          </w:p>
        </w:tc>
      </w:tr>
      <w:tr w:rsidR="0070753C">
        <w:trPr>
          <w:trHeight w:val="1042"/>
        </w:trPr>
        <w:tc>
          <w:tcPr>
            <w:tcW w:w="461" w:type="dxa"/>
            <w:tcBorders>
              <w:top w:val="single" w:sz="4" w:space="0" w:color="000000"/>
              <w:left w:val="single" w:sz="4" w:space="0" w:color="000000"/>
              <w:right w:val="single" w:sz="4" w:space="0" w:color="000000"/>
            </w:tcBorders>
            <w:shd w:val="clear" w:color="auto" w:fill="auto"/>
          </w:tcPr>
          <w:p w:rsidR="0070753C" w:rsidRDefault="0070753C">
            <w:pPr>
              <w:pBdr>
                <w:top w:val="nil"/>
                <w:left w:val="nil"/>
                <w:bottom w:val="nil"/>
                <w:right w:val="nil"/>
                <w:between w:val="nil"/>
              </w:pBdr>
              <w:rPr>
                <w:rFonts w:ascii="Arial" w:eastAsia="Arial" w:hAnsi="Arial" w:cs="Arial"/>
                <w:b/>
                <w:color w:val="000000"/>
                <w:sz w:val="22"/>
                <w:szCs w:val="22"/>
              </w:rPr>
            </w:pPr>
          </w:p>
        </w:tc>
        <w:tc>
          <w:tcPr>
            <w:tcW w:w="1980" w:type="dxa"/>
            <w:vMerge/>
            <w:tcBorders>
              <w:top w:val="single" w:sz="4" w:space="0" w:color="000000"/>
              <w:left w:val="single" w:sz="4" w:space="0" w:color="000000"/>
              <w:right w:val="single" w:sz="4" w:space="0" w:color="000000"/>
            </w:tcBorders>
            <w:shd w:val="clear" w:color="auto" w:fill="auto"/>
          </w:tcPr>
          <w:p w:rsidR="0070753C" w:rsidRDefault="0070753C">
            <w:pPr>
              <w:widowControl w:val="0"/>
              <w:pBdr>
                <w:top w:val="nil"/>
                <w:left w:val="nil"/>
                <w:bottom w:val="nil"/>
                <w:right w:val="nil"/>
                <w:between w:val="nil"/>
              </w:pBdr>
              <w:spacing w:line="276" w:lineRule="auto"/>
              <w:rPr>
                <w:rFonts w:ascii="Arial" w:eastAsia="Arial" w:hAnsi="Arial" w:cs="Arial"/>
                <w:b/>
                <w:color w:val="000000"/>
                <w:sz w:val="22"/>
                <w:szCs w:val="22"/>
              </w:rPr>
            </w:pPr>
          </w:p>
        </w:tc>
        <w:tc>
          <w:tcPr>
            <w:tcW w:w="7193" w:type="dxa"/>
            <w:vMerge/>
            <w:tcBorders>
              <w:top w:val="single" w:sz="4" w:space="0" w:color="000000"/>
              <w:left w:val="single" w:sz="4" w:space="0" w:color="000000"/>
              <w:bottom w:val="single" w:sz="4" w:space="0" w:color="000000"/>
              <w:right w:val="single" w:sz="4" w:space="0" w:color="000000"/>
            </w:tcBorders>
            <w:shd w:val="clear" w:color="auto" w:fill="auto"/>
          </w:tcPr>
          <w:p w:rsidR="0070753C" w:rsidRDefault="0070753C">
            <w:pPr>
              <w:widowControl w:val="0"/>
              <w:pBdr>
                <w:top w:val="nil"/>
                <w:left w:val="nil"/>
                <w:bottom w:val="nil"/>
                <w:right w:val="nil"/>
                <w:between w:val="nil"/>
              </w:pBdr>
              <w:spacing w:line="276" w:lineRule="auto"/>
              <w:rPr>
                <w:rFonts w:ascii="Arial" w:eastAsia="Arial" w:hAnsi="Arial" w:cs="Arial"/>
                <w:b/>
                <w:color w:val="000000"/>
                <w:sz w:val="22"/>
                <w:szCs w:val="22"/>
              </w:rPr>
            </w:pP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lastRenderedPageBreak/>
              <w:t>11</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Prices</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70753C">
            <w:pPr>
              <w:pBdr>
                <w:top w:val="nil"/>
                <w:left w:val="nil"/>
                <w:bottom w:val="nil"/>
                <w:right w:val="nil"/>
                <w:between w:val="nil"/>
              </w:pBdr>
              <w:rPr>
                <w:color w:val="000000"/>
              </w:rPr>
            </w:pPr>
          </w:p>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Details </w:t>
            </w:r>
            <w:r>
              <w:rPr>
                <w:rFonts w:ascii="Arial" w:eastAsia="Arial" w:hAnsi="Arial" w:cs="Arial"/>
                <w:color w:val="000000"/>
              </w:rPr>
              <w:t>in Framework Schedule 3 (Framework Prices)</w:t>
            </w:r>
          </w:p>
          <w:p w:rsidR="0070753C" w:rsidRDefault="0070753C">
            <w:pPr>
              <w:pBdr>
                <w:top w:val="nil"/>
                <w:left w:val="nil"/>
                <w:bottom w:val="nil"/>
                <w:right w:val="nil"/>
                <w:between w:val="nil"/>
              </w:pBdr>
              <w:rPr>
                <w:rFonts w:ascii="Arial" w:eastAsia="Arial" w:hAnsi="Arial" w:cs="Arial"/>
                <w:b/>
                <w:color w:val="000000"/>
              </w:rPr>
            </w:pP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12</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Insurance</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Details in Annex of Joint Schedule 3 (Insurance Requirements).</w:t>
            </w:r>
          </w:p>
          <w:p w:rsidR="0070753C" w:rsidRDefault="0070753C">
            <w:pPr>
              <w:pBdr>
                <w:top w:val="nil"/>
                <w:left w:val="nil"/>
                <w:bottom w:val="nil"/>
                <w:right w:val="nil"/>
                <w:between w:val="nil"/>
              </w:pBdr>
              <w:rPr>
                <w:rFonts w:ascii="Arial" w:eastAsia="Arial" w:hAnsi="Arial" w:cs="Arial"/>
                <w:b/>
                <w:color w:val="000000"/>
              </w:rPr>
            </w:pP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13</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Cyber Essentials Certification</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Cyber Essentials Scheme Basic Certificate (or equivalent, including IASME certified equivalents). Details in Framework Schedule 9 (Cyber Essentials Scheme)</w:t>
            </w:r>
          </w:p>
          <w:p w:rsidR="0070753C" w:rsidRDefault="0070753C">
            <w:pPr>
              <w:pBdr>
                <w:top w:val="nil"/>
                <w:left w:val="nil"/>
                <w:bottom w:val="nil"/>
                <w:right w:val="nil"/>
                <w:between w:val="nil"/>
              </w:pBdr>
              <w:rPr>
                <w:rFonts w:ascii="Arial" w:eastAsia="Arial" w:hAnsi="Arial" w:cs="Arial"/>
                <w:b/>
                <w:color w:val="000000"/>
              </w:rPr>
            </w:pPr>
          </w:p>
        </w:tc>
      </w:tr>
      <w:tr w:rsidR="0070753C">
        <w:trPr>
          <w:trHeight w:val="5172"/>
        </w:trPr>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lastRenderedPageBreak/>
              <w:t>14</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Management Charge</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tabs>
                <w:tab w:val="left" w:pos="1134"/>
              </w:tabs>
              <w:spacing w:before="120" w:after="120"/>
              <w:jc w:val="both"/>
              <w:rPr>
                <w:rFonts w:ascii="Arial" w:eastAsia="Arial" w:hAnsi="Arial" w:cs="Arial"/>
                <w:color w:val="000000"/>
              </w:rPr>
            </w:pPr>
            <w:r>
              <w:rPr>
                <w:rFonts w:ascii="Arial" w:eastAsia="Arial" w:hAnsi="Arial" w:cs="Arial"/>
                <w:color w:val="000000"/>
              </w:rPr>
              <w:t>The Management Charge shall be payable where the Supplier has reported retained income or spend in each Month throughout the Contract Period and thereafter until the expiry or earlier termination of all Call-Off Contracts entered into pursuant to this Fram</w:t>
            </w:r>
            <w:r>
              <w:rPr>
                <w:rFonts w:ascii="Arial" w:eastAsia="Arial" w:hAnsi="Arial" w:cs="Arial"/>
                <w:color w:val="000000"/>
              </w:rPr>
              <w:t>ework Contract. The Management Charge shall be calculated as follows:</w:t>
            </w:r>
          </w:p>
          <w:p w:rsidR="0070753C" w:rsidRDefault="00F815CA">
            <w:pPr>
              <w:pBdr>
                <w:top w:val="nil"/>
                <w:left w:val="nil"/>
                <w:bottom w:val="nil"/>
                <w:right w:val="nil"/>
                <w:between w:val="nil"/>
              </w:pBdr>
              <w:tabs>
                <w:tab w:val="left" w:pos="1134"/>
              </w:tabs>
              <w:spacing w:before="120" w:after="120"/>
              <w:jc w:val="both"/>
              <w:rPr>
                <w:rFonts w:ascii="Arial" w:eastAsia="Arial" w:hAnsi="Arial" w:cs="Arial"/>
                <w:color w:val="000000"/>
              </w:rPr>
            </w:pPr>
            <w:r>
              <w:rPr>
                <w:rFonts w:ascii="Arial" w:eastAsia="Arial" w:hAnsi="Arial" w:cs="Arial"/>
                <w:color w:val="000000"/>
              </w:rPr>
              <w:t>Lots 1 to 4</w:t>
            </w:r>
          </w:p>
          <w:p w:rsidR="0070753C" w:rsidRDefault="00F815CA">
            <w:pPr>
              <w:pBdr>
                <w:top w:val="nil"/>
                <w:left w:val="nil"/>
                <w:bottom w:val="nil"/>
                <w:right w:val="nil"/>
                <w:between w:val="nil"/>
              </w:pBdr>
              <w:tabs>
                <w:tab w:val="left" w:pos="1134"/>
              </w:tabs>
              <w:spacing w:before="120" w:after="120"/>
              <w:jc w:val="both"/>
              <w:rPr>
                <w:rFonts w:ascii="Arial" w:eastAsia="Arial" w:hAnsi="Arial" w:cs="Arial"/>
                <w:color w:val="000000"/>
              </w:rPr>
            </w:pPr>
            <w:r>
              <w:rPr>
                <w:rFonts w:ascii="Arial" w:eastAsia="Arial" w:hAnsi="Arial" w:cs="Arial"/>
                <w:color w:val="000000"/>
              </w:rPr>
              <w:t>If the Supplier is appointed under Lots 1, 2, 3 and/or 4, the Supplier is required to pay, in respect of each Month, a Management Fee that is equal to 0.5% of the Supplier Am</w:t>
            </w:r>
            <w:r>
              <w:rPr>
                <w:rFonts w:ascii="Arial" w:eastAsia="Arial" w:hAnsi="Arial" w:cs="Arial"/>
                <w:color w:val="000000"/>
              </w:rPr>
              <w:t xml:space="preserve">ount (as defined in Call-Off Schedule 5) that been retained by the Supplier in respect of that Month under all Call-Off Contracts that have been awarded to the Supplier under Lots 1 to 4. </w:t>
            </w:r>
          </w:p>
          <w:p w:rsidR="0070753C" w:rsidRDefault="00F815CA">
            <w:p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Lot 5</w:t>
            </w:r>
          </w:p>
          <w:p w:rsidR="0070753C" w:rsidRDefault="00F815CA">
            <w:p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If the Supplier is appointed under Lot 5, the Supplier is req</w:t>
            </w:r>
            <w:r>
              <w:rPr>
                <w:rFonts w:ascii="Arial" w:eastAsia="Arial" w:hAnsi="Arial" w:cs="Arial"/>
                <w:color w:val="000000"/>
              </w:rPr>
              <w:t>uired to pay, in respect of each Month, a Management Fee that is equal to 0.5% of the total amount of the Charges (exclusive of VAT) that are due by Buyers to the Supplier in respect of the relevant Month under all Call-Off Contracts that have been awarded</w:t>
            </w:r>
            <w:r>
              <w:rPr>
                <w:rFonts w:ascii="Arial" w:eastAsia="Arial" w:hAnsi="Arial" w:cs="Arial"/>
                <w:color w:val="000000"/>
              </w:rPr>
              <w:t xml:space="preserve"> to the Supplier under Lot 5.</w:t>
            </w: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15</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Supplier </w:t>
            </w:r>
          </w:p>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Framework </w:t>
            </w:r>
          </w:p>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Manager</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311E97">
            <w:pPr>
              <w:pBdr>
                <w:top w:val="nil"/>
                <w:left w:val="nil"/>
                <w:bottom w:val="nil"/>
                <w:right w:val="nil"/>
                <w:between w:val="nil"/>
              </w:pBdr>
              <w:rPr>
                <w:color w:val="000000"/>
              </w:rPr>
            </w:pPr>
            <w:r>
              <w:rPr>
                <w:rFonts w:ascii="Arial" w:hAnsi="Arial" w:cs="Arial"/>
                <w:b/>
                <w:bCs/>
                <w:color w:val="000000"/>
                <w:sz w:val="20"/>
                <w:szCs w:val="20"/>
              </w:rPr>
              <w:t>Redacted under FOIA section 40, Personal Information</w:t>
            </w: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16</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Supplier</w:t>
            </w:r>
          </w:p>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Authorised </w:t>
            </w:r>
          </w:p>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Representative</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311E97" w:rsidP="00311E97">
            <w:pPr>
              <w:pBdr>
                <w:top w:val="nil"/>
                <w:left w:val="nil"/>
                <w:bottom w:val="nil"/>
                <w:right w:val="nil"/>
                <w:between w:val="nil"/>
              </w:pBdr>
              <w:rPr>
                <w:color w:val="000000"/>
              </w:rPr>
            </w:pPr>
            <w:r>
              <w:rPr>
                <w:rFonts w:ascii="Arial" w:hAnsi="Arial" w:cs="Arial"/>
                <w:b/>
                <w:bCs/>
                <w:color w:val="000000"/>
                <w:sz w:val="20"/>
                <w:szCs w:val="20"/>
              </w:rPr>
              <w:t>Redacted under FOIA section 40, Personal Information</w:t>
            </w: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17</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Supplier </w:t>
            </w:r>
          </w:p>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Compliance </w:t>
            </w:r>
          </w:p>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Officer</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311E97" w:rsidP="00311E97">
            <w:pPr>
              <w:pBdr>
                <w:top w:val="nil"/>
                <w:left w:val="nil"/>
                <w:bottom w:val="nil"/>
                <w:right w:val="nil"/>
                <w:between w:val="nil"/>
              </w:pBdr>
              <w:rPr>
                <w:color w:val="000000"/>
              </w:rPr>
            </w:pPr>
            <w:r>
              <w:rPr>
                <w:rFonts w:ascii="Arial" w:hAnsi="Arial" w:cs="Arial"/>
                <w:b/>
                <w:bCs/>
                <w:color w:val="000000"/>
                <w:sz w:val="20"/>
                <w:szCs w:val="20"/>
              </w:rPr>
              <w:t>Redacted under FOIA section 40, Personal Information</w:t>
            </w: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18</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Supplier Data Protection Officer</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311E97" w:rsidP="00311E97">
            <w:pPr>
              <w:pBdr>
                <w:top w:val="nil"/>
                <w:left w:val="nil"/>
                <w:bottom w:val="nil"/>
                <w:right w:val="nil"/>
                <w:between w:val="nil"/>
              </w:pBdr>
              <w:rPr>
                <w:color w:val="000000"/>
              </w:rPr>
            </w:pPr>
            <w:r>
              <w:rPr>
                <w:rFonts w:ascii="Arial" w:hAnsi="Arial" w:cs="Arial"/>
                <w:b/>
                <w:bCs/>
                <w:color w:val="000000"/>
                <w:sz w:val="20"/>
                <w:szCs w:val="20"/>
              </w:rPr>
              <w:t>Redacted under FOIA section 40, Personal Information</w:t>
            </w: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19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Data Protection Liability Cap</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rPr>
                <w:rFonts w:ascii="Arial" w:eastAsia="Arial" w:hAnsi="Arial" w:cs="Arial"/>
              </w:rPr>
            </w:pPr>
            <w:r>
              <w:rPr>
                <w:rFonts w:ascii="Arial" w:eastAsia="Arial" w:hAnsi="Arial" w:cs="Arial"/>
              </w:rPr>
              <w:t>£10,000,000</w:t>
            </w:r>
          </w:p>
          <w:p w:rsidR="0070753C" w:rsidRDefault="0070753C">
            <w:pPr>
              <w:rPr>
                <w:rFonts w:ascii="Arial" w:eastAsia="Arial" w:hAnsi="Arial" w:cs="Arial"/>
                <w:color w:val="000000"/>
              </w:rPr>
            </w:pP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20</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Supplier </w:t>
            </w:r>
          </w:p>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Marketing </w:t>
            </w:r>
          </w:p>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Contact</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311E97" w:rsidP="00311E97">
            <w:pPr>
              <w:pBdr>
                <w:top w:val="nil"/>
                <w:left w:val="nil"/>
                <w:bottom w:val="nil"/>
                <w:right w:val="nil"/>
                <w:between w:val="nil"/>
              </w:pBdr>
              <w:rPr>
                <w:color w:val="000000"/>
              </w:rPr>
            </w:pPr>
            <w:r>
              <w:rPr>
                <w:rFonts w:ascii="Arial" w:hAnsi="Arial" w:cs="Arial"/>
                <w:b/>
                <w:bCs/>
                <w:color w:val="000000"/>
                <w:sz w:val="20"/>
                <w:szCs w:val="20"/>
              </w:rPr>
              <w:t>Redacted under FOIA section 40, Personal Information</w:t>
            </w: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21</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Key </w:t>
            </w:r>
          </w:p>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Subcontractors </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If Applicable - Please see embedded folder within the Framework Contract Documents folder</w:t>
            </w:r>
          </w:p>
        </w:tc>
      </w:tr>
      <w:tr w:rsidR="0070753C">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lastRenderedPageBreak/>
              <w:t>22</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0753C" w:rsidRDefault="00F815CA">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CCS Authorised Representative</w:t>
            </w:r>
          </w:p>
          <w:p w:rsidR="0070753C" w:rsidRDefault="0070753C">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311E97" w:rsidP="00311E97">
            <w:pPr>
              <w:pBdr>
                <w:top w:val="nil"/>
                <w:left w:val="nil"/>
                <w:bottom w:val="nil"/>
                <w:right w:val="nil"/>
                <w:between w:val="nil"/>
              </w:pBdr>
              <w:rPr>
                <w:color w:val="000000"/>
              </w:rPr>
            </w:pPr>
            <w:r>
              <w:rPr>
                <w:rFonts w:ascii="Arial" w:hAnsi="Arial" w:cs="Arial"/>
                <w:b/>
                <w:bCs/>
                <w:color w:val="000000"/>
                <w:sz w:val="20"/>
                <w:szCs w:val="20"/>
              </w:rPr>
              <w:t>Redacted under FOIA section 40, Personal Information</w:t>
            </w:r>
          </w:p>
        </w:tc>
      </w:tr>
    </w:tbl>
    <w:p w:rsidR="0070753C" w:rsidRDefault="00F815CA">
      <w:pPr>
        <w:pBdr>
          <w:top w:val="nil"/>
          <w:left w:val="nil"/>
          <w:bottom w:val="nil"/>
          <w:right w:val="nil"/>
          <w:between w:val="nil"/>
        </w:pBdr>
        <w:rPr>
          <w:rFonts w:ascii="Arial" w:eastAsia="Arial" w:hAnsi="Arial" w:cs="Arial"/>
          <w:b/>
          <w:color w:val="000000"/>
        </w:rPr>
      </w:pPr>
      <w:r>
        <w:rPr>
          <w:rFonts w:ascii="Arial" w:eastAsia="Arial" w:hAnsi="Arial" w:cs="Arial"/>
          <w:b/>
          <w:color w:val="000000"/>
        </w:rPr>
        <w:br/>
      </w:r>
    </w:p>
    <w:p w:rsidR="0070753C" w:rsidRDefault="0070753C">
      <w:pPr>
        <w:pBdr>
          <w:top w:val="nil"/>
          <w:left w:val="nil"/>
          <w:bottom w:val="nil"/>
          <w:right w:val="nil"/>
          <w:between w:val="nil"/>
        </w:pBdr>
        <w:rPr>
          <w:rFonts w:ascii="Arial" w:eastAsia="Arial" w:hAnsi="Arial" w:cs="Arial"/>
          <w:color w:val="000000"/>
        </w:rPr>
      </w:pPr>
    </w:p>
    <w:p w:rsidR="0070753C" w:rsidRDefault="0070753C">
      <w:pPr>
        <w:pBdr>
          <w:top w:val="nil"/>
          <w:left w:val="nil"/>
          <w:bottom w:val="nil"/>
          <w:right w:val="nil"/>
          <w:between w:val="nil"/>
        </w:pBdr>
        <w:rPr>
          <w:rFonts w:ascii="Arial" w:eastAsia="Arial" w:hAnsi="Arial" w:cs="Arial"/>
          <w:color w:val="000000"/>
        </w:rPr>
      </w:pPr>
    </w:p>
    <w:p w:rsidR="0070753C" w:rsidRDefault="0070753C">
      <w:pPr>
        <w:pBdr>
          <w:top w:val="nil"/>
          <w:left w:val="nil"/>
          <w:bottom w:val="nil"/>
          <w:right w:val="nil"/>
          <w:between w:val="nil"/>
        </w:pBdr>
        <w:rPr>
          <w:rFonts w:ascii="Arial" w:eastAsia="Arial" w:hAnsi="Arial" w:cs="Arial"/>
          <w:color w:val="000000"/>
        </w:rPr>
      </w:pPr>
    </w:p>
    <w:tbl>
      <w:tblPr>
        <w:tblStyle w:val="a8"/>
        <w:tblW w:w="9634"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11"/>
        <w:gridCol w:w="3453"/>
        <w:gridCol w:w="1311"/>
        <w:gridCol w:w="3559"/>
      </w:tblGrid>
      <w:tr w:rsidR="0070753C">
        <w:tc>
          <w:tcPr>
            <w:tcW w:w="4764" w:type="dxa"/>
            <w:gridSpan w:val="2"/>
            <w:tcBorders>
              <w:top w:val="single" w:sz="4" w:space="0" w:color="000000"/>
              <w:left w:val="single" w:sz="4" w:space="0" w:color="000000"/>
              <w:bottom w:val="single" w:sz="4" w:space="0" w:color="000000"/>
              <w:right w:val="single" w:sz="4" w:space="0" w:color="000000"/>
            </w:tcBorders>
            <w:shd w:val="clear" w:color="auto" w:fill="BDD6EE"/>
          </w:tcPr>
          <w:p w:rsidR="0070753C" w:rsidRDefault="00F815CA">
            <w:pPr>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For and on behalf of the Supplier: </w:t>
            </w:r>
          </w:p>
          <w:p w:rsidR="0070753C" w:rsidRDefault="0070753C">
            <w:pPr>
              <w:pBdr>
                <w:top w:val="nil"/>
                <w:left w:val="nil"/>
                <w:bottom w:val="nil"/>
                <w:right w:val="nil"/>
                <w:between w:val="nil"/>
              </w:pBdr>
              <w:rPr>
                <w:rFonts w:ascii="Arial" w:eastAsia="Arial" w:hAnsi="Arial" w:cs="Arial"/>
                <w:b/>
                <w:color w:val="000000"/>
              </w:rPr>
            </w:pPr>
          </w:p>
        </w:tc>
        <w:tc>
          <w:tcPr>
            <w:tcW w:w="4870" w:type="dxa"/>
            <w:gridSpan w:val="2"/>
            <w:tcBorders>
              <w:top w:val="single" w:sz="4" w:space="0" w:color="000000"/>
              <w:left w:val="single" w:sz="4" w:space="0" w:color="000000"/>
              <w:bottom w:val="single" w:sz="4" w:space="0" w:color="000000"/>
              <w:right w:val="single" w:sz="4" w:space="0" w:color="000000"/>
            </w:tcBorders>
            <w:shd w:val="clear" w:color="auto" w:fill="BDD6EE"/>
          </w:tcPr>
          <w:p w:rsidR="0070753C" w:rsidRDefault="00F815CA">
            <w:pPr>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CCS:</w:t>
            </w:r>
          </w:p>
        </w:tc>
      </w:tr>
      <w:tr w:rsidR="0070753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70753C" w:rsidRDefault="0070753C">
            <w:pPr>
              <w:pBdr>
                <w:top w:val="nil"/>
                <w:left w:val="nil"/>
                <w:bottom w:val="nil"/>
                <w:right w:val="nil"/>
                <w:between w:val="nil"/>
              </w:pBdr>
              <w:rPr>
                <w:rFonts w:ascii="Arial" w:eastAsia="Arial" w:hAnsi="Arial" w:cs="Arial"/>
                <w:color w:val="000000"/>
              </w:rPr>
            </w:pPr>
          </w:p>
        </w:tc>
        <w:tc>
          <w:tcPr>
            <w:tcW w:w="3453" w:type="dxa"/>
            <w:tcBorders>
              <w:top w:val="single" w:sz="4" w:space="0" w:color="000000"/>
              <w:left w:val="single" w:sz="4" w:space="0" w:color="000000"/>
              <w:bottom w:val="single" w:sz="4" w:space="0" w:color="000000"/>
              <w:right w:val="single" w:sz="4" w:space="0" w:color="000000"/>
            </w:tcBorders>
            <w:shd w:val="clear" w:color="auto" w:fill="auto"/>
          </w:tcPr>
          <w:p w:rsidR="00311E97" w:rsidRDefault="00311E97" w:rsidP="00311E97">
            <w:pPr>
              <w:pBdr>
                <w:top w:val="nil"/>
                <w:left w:val="nil"/>
                <w:bottom w:val="nil"/>
                <w:right w:val="nil"/>
                <w:between w:val="nil"/>
              </w:pBdr>
              <w:rPr>
                <w:rFonts w:ascii="Arial" w:eastAsia="Arial" w:hAnsi="Arial" w:cs="Arial"/>
                <w:color w:val="000000"/>
              </w:rPr>
            </w:pP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70753C">
            <w:pPr>
              <w:pBdr>
                <w:top w:val="nil"/>
                <w:left w:val="nil"/>
                <w:bottom w:val="nil"/>
                <w:right w:val="nil"/>
                <w:between w:val="nil"/>
              </w:pBdr>
              <w:rPr>
                <w:rFonts w:ascii="Arial" w:eastAsia="Arial" w:hAnsi="Arial" w:cs="Arial"/>
                <w:color w:val="000000"/>
              </w:rPr>
            </w:pPr>
          </w:p>
        </w:t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tc>
        <w:tc>
          <w:tcPr>
            <w:tcW w:w="3559" w:type="dxa"/>
            <w:tcBorders>
              <w:top w:val="single" w:sz="4" w:space="0" w:color="000000"/>
              <w:left w:val="single" w:sz="4" w:space="0" w:color="000000"/>
              <w:bottom w:val="single" w:sz="4" w:space="0" w:color="000000"/>
              <w:right w:val="single" w:sz="4" w:space="0" w:color="000000"/>
            </w:tcBorders>
            <w:shd w:val="clear" w:color="auto" w:fill="auto"/>
          </w:tcPr>
          <w:p w:rsidR="00311E97" w:rsidRDefault="00311E97" w:rsidP="00311E97">
            <w:pPr>
              <w:pBdr>
                <w:top w:val="nil"/>
                <w:left w:val="nil"/>
                <w:bottom w:val="nil"/>
                <w:right w:val="nil"/>
                <w:between w:val="nil"/>
              </w:pBdr>
              <w:rPr>
                <w:rFonts w:ascii="Arial" w:eastAsia="Arial" w:hAnsi="Arial" w:cs="Arial"/>
                <w:color w:val="000000"/>
              </w:rPr>
            </w:pP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70753C">
            <w:pPr>
              <w:pBdr>
                <w:top w:val="nil"/>
                <w:left w:val="nil"/>
                <w:bottom w:val="nil"/>
                <w:right w:val="nil"/>
                <w:between w:val="nil"/>
              </w:pBdr>
              <w:rPr>
                <w:rFonts w:ascii="Arial" w:eastAsia="Arial" w:hAnsi="Arial" w:cs="Arial"/>
                <w:color w:val="000000"/>
              </w:rPr>
            </w:pPr>
          </w:p>
        </w:tc>
      </w:tr>
      <w:tr w:rsidR="0070753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Name:</w:t>
            </w:r>
          </w:p>
          <w:p w:rsidR="0070753C" w:rsidRDefault="0070753C">
            <w:pPr>
              <w:pBdr>
                <w:top w:val="nil"/>
                <w:left w:val="nil"/>
                <w:bottom w:val="nil"/>
                <w:right w:val="nil"/>
                <w:between w:val="nil"/>
              </w:pBdr>
              <w:rPr>
                <w:rFonts w:ascii="Arial" w:eastAsia="Arial" w:hAnsi="Arial" w:cs="Arial"/>
                <w:color w:val="000000"/>
              </w:rPr>
            </w:pPr>
          </w:p>
        </w:tc>
        <w:tc>
          <w:tcPr>
            <w:tcW w:w="3453" w:type="dxa"/>
            <w:tcBorders>
              <w:top w:val="single" w:sz="4" w:space="0" w:color="000000"/>
              <w:left w:val="single" w:sz="4" w:space="0" w:color="000000"/>
              <w:bottom w:val="single" w:sz="4" w:space="0" w:color="000000"/>
              <w:right w:val="single" w:sz="4" w:space="0" w:color="000000"/>
            </w:tcBorders>
            <w:shd w:val="clear" w:color="auto" w:fill="BDD6EE"/>
          </w:tcPr>
          <w:p w:rsidR="00311E97" w:rsidRDefault="00311E97" w:rsidP="00311E97">
            <w:pPr>
              <w:pBdr>
                <w:top w:val="nil"/>
                <w:left w:val="nil"/>
                <w:bottom w:val="nil"/>
                <w:right w:val="nil"/>
                <w:between w:val="nil"/>
              </w:pBdr>
              <w:rPr>
                <w:rFonts w:ascii="Arial" w:eastAsia="Arial" w:hAnsi="Arial" w:cs="Arial"/>
                <w:color w:val="000000"/>
              </w:rPr>
            </w:pP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70753C">
            <w:pPr>
              <w:pBdr>
                <w:top w:val="nil"/>
                <w:left w:val="nil"/>
                <w:bottom w:val="nil"/>
                <w:right w:val="nil"/>
                <w:between w:val="nil"/>
              </w:pBdr>
              <w:rPr>
                <w:rFonts w:ascii="Arial" w:eastAsia="Arial" w:hAnsi="Arial" w:cs="Arial"/>
                <w:color w:val="000000"/>
              </w:rPr>
            </w:pPr>
          </w:p>
        </w:t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Name:</w:t>
            </w:r>
          </w:p>
        </w:tc>
        <w:tc>
          <w:tcPr>
            <w:tcW w:w="3559" w:type="dxa"/>
            <w:tcBorders>
              <w:top w:val="single" w:sz="4" w:space="0" w:color="000000"/>
              <w:left w:val="single" w:sz="4" w:space="0" w:color="000000"/>
              <w:bottom w:val="single" w:sz="4" w:space="0" w:color="000000"/>
              <w:right w:val="single" w:sz="4" w:space="0" w:color="000000"/>
            </w:tcBorders>
            <w:shd w:val="clear" w:color="auto" w:fill="BDD6EE"/>
          </w:tcPr>
          <w:p w:rsidR="00311E97" w:rsidRDefault="00311E97" w:rsidP="00311E97">
            <w:pPr>
              <w:pBdr>
                <w:top w:val="nil"/>
                <w:left w:val="nil"/>
                <w:bottom w:val="nil"/>
                <w:right w:val="nil"/>
                <w:between w:val="nil"/>
              </w:pBdr>
              <w:rPr>
                <w:rFonts w:ascii="Arial" w:eastAsia="Arial" w:hAnsi="Arial" w:cs="Arial"/>
                <w:color w:val="000000"/>
              </w:rPr>
            </w:pP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70753C">
            <w:pPr>
              <w:pBdr>
                <w:top w:val="nil"/>
                <w:left w:val="nil"/>
                <w:bottom w:val="nil"/>
                <w:right w:val="nil"/>
                <w:between w:val="nil"/>
              </w:pBdr>
              <w:rPr>
                <w:rFonts w:ascii="Arial" w:eastAsia="Arial" w:hAnsi="Arial" w:cs="Arial"/>
                <w:color w:val="000000"/>
              </w:rPr>
            </w:pPr>
          </w:p>
        </w:tc>
      </w:tr>
      <w:tr w:rsidR="0070753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Role:</w:t>
            </w:r>
          </w:p>
          <w:p w:rsidR="0070753C" w:rsidRDefault="0070753C">
            <w:pPr>
              <w:pBdr>
                <w:top w:val="nil"/>
                <w:left w:val="nil"/>
                <w:bottom w:val="nil"/>
                <w:right w:val="nil"/>
                <w:between w:val="nil"/>
              </w:pBdr>
              <w:rPr>
                <w:rFonts w:ascii="Arial" w:eastAsia="Arial" w:hAnsi="Arial" w:cs="Arial"/>
                <w:color w:val="000000"/>
              </w:rPr>
            </w:pPr>
          </w:p>
        </w:tc>
        <w:tc>
          <w:tcPr>
            <w:tcW w:w="3453" w:type="dxa"/>
            <w:tcBorders>
              <w:top w:val="single" w:sz="4" w:space="0" w:color="000000"/>
              <w:left w:val="single" w:sz="4" w:space="0" w:color="000000"/>
              <w:bottom w:val="single" w:sz="4" w:space="0" w:color="000000"/>
              <w:right w:val="single" w:sz="4" w:space="0" w:color="000000"/>
            </w:tcBorders>
            <w:shd w:val="clear" w:color="auto" w:fill="auto"/>
          </w:tcPr>
          <w:p w:rsidR="00311E97" w:rsidRDefault="00311E97" w:rsidP="00311E97">
            <w:pPr>
              <w:pBdr>
                <w:top w:val="nil"/>
                <w:left w:val="nil"/>
                <w:bottom w:val="nil"/>
                <w:right w:val="nil"/>
                <w:between w:val="nil"/>
              </w:pBdr>
              <w:rPr>
                <w:rFonts w:ascii="Arial" w:eastAsia="Arial" w:hAnsi="Arial" w:cs="Arial"/>
                <w:color w:val="000000"/>
              </w:rPr>
            </w:pP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70753C">
            <w:pPr>
              <w:pBdr>
                <w:top w:val="nil"/>
                <w:left w:val="nil"/>
                <w:bottom w:val="nil"/>
                <w:right w:val="nil"/>
                <w:between w:val="nil"/>
              </w:pBdr>
              <w:rPr>
                <w:rFonts w:ascii="Arial" w:eastAsia="Arial" w:hAnsi="Arial" w:cs="Arial"/>
                <w:color w:val="000000"/>
              </w:rPr>
            </w:pPr>
          </w:p>
        </w:t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Role:</w:t>
            </w:r>
          </w:p>
        </w:tc>
        <w:tc>
          <w:tcPr>
            <w:tcW w:w="3559" w:type="dxa"/>
            <w:tcBorders>
              <w:top w:val="single" w:sz="4" w:space="0" w:color="000000"/>
              <w:left w:val="single" w:sz="4" w:space="0" w:color="000000"/>
              <w:bottom w:val="single" w:sz="4" w:space="0" w:color="000000"/>
              <w:right w:val="single" w:sz="4" w:space="0" w:color="000000"/>
            </w:tcBorders>
            <w:shd w:val="clear" w:color="auto" w:fill="auto"/>
          </w:tcPr>
          <w:p w:rsidR="00311E97" w:rsidRDefault="00311E97" w:rsidP="00311E97">
            <w:pPr>
              <w:pBdr>
                <w:top w:val="nil"/>
                <w:left w:val="nil"/>
                <w:bottom w:val="nil"/>
                <w:right w:val="nil"/>
                <w:between w:val="nil"/>
              </w:pBdr>
              <w:rPr>
                <w:rFonts w:ascii="Arial" w:eastAsia="Arial" w:hAnsi="Arial" w:cs="Arial"/>
                <w:color w:val="000000"/>
              </w:rPr>
            </w:pPr>
          </w:p>
          <w:p w:rsidR="00311E97" w:rsidRDefault="00311E97" w:rsidP="00311E97">
            <w:pPr>
              <w:pBdr>
                <w:top w:val="nil"/>
                <w:left w:val="nil"/>
                <w:bottom w:val="nil"/>
                <w:right w:val="nil"/>
                <w:between w:val="nil"/>
              </w:pBdr>
              <w:rPr>
                <w:rFonts w:ascii="Arial" w:eastAsia="Arial" w:hAnsi="Arial" w:cs="Arial"/>
                <w:color w:val="000000"/>
              </w:rPr>
            </w:pPr>
            <w:r>
              <w:rPr>
                <w:rFonts w:ascii="Arial" w:hAnsi="Arial" w:cs="Arial"/>
                <w:b/>
                <w:bCs/>
                <w:color w:val="000000"/>
                <w:sz w:val="20"/>
                <w:szCs w:val="20"/>
              </w:rPr>
              <w:t>Redacted under FOIA section 40, Personal Information</w:t>
            </w:r>
          </w:p>
          <w:p w:rsidR="0070753C" w:rsidRDefault="0070753C">
            <w:pPr>
              <w:pBdr>
                <w:top w:val="nil"/>
                <w:left w:val="nil"/>
                <w:bottom w:val="nil"/>
                <w:right w:val="nil"/>
                <w:between w:val="nil"/>
              </w:pBdr>
              <w:rPr>
                <w:rFonts w:ascii="Arial" w:eastAsia="Arial" w:hAnsi="Arial" w:cs="Arial"/>
                <w:color w:val="000000"/>
              </w:rPr>
            </w:pPr>
          </w:p>
        </w:tc>
      </w:tr>
      <w:tr w:rsidR="0070753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70753C" w:rsidRDefault="0070753C">
            <w:pPr>
              <w:pBdr>
                <w:top w:val="nil"/>
                <w:left w:val="nil"/>
                <w:bottom w:val="nil"/>
                <w:right w:val="nil"/>
                <w:between w:val="nil"/>
              </w:pBdr>
              <w:rPr>
                <w:rFonts w:ascii="Arial" w:eastAsia="Arial" w:hAnsi="Arial" w:cs="Arial"/>
                <w:color w:val="000000"/>
              </w:rPr>
            </w:pPr>
          </w:p>
        </w:tc>
        <w:tc>
          <w:tcPr>
            <w:tcW w:w="3453" w:type="dxa"/>
            <w:tcBorders>
              <w:top w:val="single" w:sz="4" w:space="0" w:color="000000"/>
              <w:left w:val="single" w:sz="4" w:space="0" w:color="000000"/>
              <w:bottom w:val="single" w:sz="4" w:space="0" w:color="000000"/>
              <w:right w:val="single" w:sz="4" w:space="0" w:color="000000"/>
            </w:tcBorders>
            <w:shd w:val="clear" w:color="auto" w:fill="BDD6EE"/>
          </w:tcPr>
          <w:p w:rsidR="0070753C" w:rsidRDefault="00311E97">
            <w:pPr>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t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70753C" w:rsidRDefault="00F815CA">
            <w:pPr>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tc>
        <w:tc>
          <w:tcPr>
            <w:tcW w:w="3559" w:type="dxa"/>
            <w:tcBorders>
              <w:top w:val="single" w:sz="4" w:space="0" w:color="000000"/>
              <w:left w:val="single" w:sz="4" w:space="0" w:color="000000"/>
              <w:bottom w:val="single" w:sz="4" w:space="0" w:color="000000"/>
              <w:right w:val="single" w:sz="4" w:space="0" w:color="000000"/>
            </w:tcBorders>
            <w:shd w:val="clear" w:color="auto" w:fill="BDD6EE"/>
          </w:tcPr>
          <w:p w:rsidR="0070753C" w:rsidRDefault="00311E97">
            <w:pPr>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tc>
      </w:tr>
    </w:tbl>
    <w:p w:rsidR="0070753C" w:rsidRDefault="0070753C">
      <w:pPr>
        <w:pBdr>
          <w:top w:val="nil"/>
          <w:left w:val="nil"/>
          <w:bottom w:val="nil"/>
          <w:right w:val="nil"/>
          <w:between w:val="nil"/>
        </w:pBdr>
        <w:rPr>
          <w:rFonts w:ascii="Arial" w:eastAsia="Arial" w:hAnsi="Arial" w:cs="Arial"/>
          <w:color w:val="000000"/>
        </w:rPr>
      </w:pPr>
    </w:p>
    <w:sectPr w:rsidR="0070753C">
      <w:headerReference w:type="even" r:id="rId8"/>
      <w:headerReference w:type="default" r:id="rId9"/>
      <w:footerReference w:type="even" r:id="rId10"/>
      <w:footerReference w:type="default" r:id="rId11"/>
      <w:headerReference w:type="first" r:id="rId12"/>
      <w:footerReference w:type="first" r:id="rId13"/>
      <w:pgSz w:w="11900" w:h="16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5CA" w:rsidRDefault="00F815CA">
      <w:r>
        <w:separator/>
      </w:r>
    </w:p>
  </w:endnote>
  <w:endnote w:type="continuationSeparator" w:id="0">
    <w:p w:rsidR="00F815CA" w:rsidRDefault="00F8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panose1 w:val="00000000000000000000"/>
    <w:charset w:val="00"/>
    <w:family w:val="roman"/>
    <w:notTrueType/>
    <w:pitch w:val="default"/>
  </w:font>
  <w:font w:name="Linux Libertine G">
    <w:panose1 w:val="00000000000000000000"/>
    <w:charset w:val="00"/>
    <w:family w:val="roman"/>
    <w:notTrueType/>
    <w:pitch w:val="default"/>
  </w:font>
  <w:font w:name="DejaVu Sans">
    <w:altName w:val="Verdan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53C" w:rsidRDefault="0070753C">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53C" w:rsidRDefault="00F815CA">
    <w:pPr>
      <w:pBdr>
        <w:top w:val="nil"/>
        <w:left w:val="nil"/>
        <w:bottom w:val="nil"/>
        <w:right w:val="nil"/>
        <w:between w:val="nil"/>
      </w:pBdr>
      <w:tabs>
        <w:tab w:val="center" w:pos="4513"/>
        <w:tab w:val="right" w:pos="9026"/>
      </w:tabs>
      <w:jc w:val="center"/>
      <w:rPr>
        <w:rFonts w:ascii="Arial" w:eastAsia="Arial" w:hAnsi="Arial" w:cs="Arial"/>
        <w:color w:val="000000"/>
        <w:sz w:val="14"/>
        <w:szCs w:val="14"/>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11E97">
      <w:rPr>
        <w:rFonts w:ascii="Arial" w:eastAsia="Arial" w:hAnsi="Arial" w:cs="Arial"/>
        <w:color w:val="000000"/>
        <w:sz w:val="20"/>
        <w:szCs w:val="20"/>
      </w:rPr>
      <w:fldChar w:fldCharType="separate"/>
    </w:r>
    <w:r w:rsidR="00311E97">
      <w:rPr>
        <w:rFonts w:ascii="Arial" w:eastAsia="Arial" w:hAnsi="Arial" w:cs="Arial"/>
        <w:noProof/>
        <w:color w:val="000000"/>
        <w:sz w:val="20"/>
        <w:szCs w:val="20"/>
      </w:rPr>
      <w:t>1</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53C" w:rsidRDefault="0070753C">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5CA" w:rsidRDefault="00F815CA">
      <w:r>
        <w:separator/>
      </w:r>
    </w:p>
  </w:footnote>
  <w:footnote w:type="continuationSeparator" w:id="0">
    <w:p w:rsidR="00F815CA" w:rsidRDefault="00F81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53C" w:rsidRDefault="0070753C">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53C" w:rsidRDefault="00F815CA">
    <w:pPr>
      <w:pBdr>
        <w:top w:val="nil"/>
        <w:left w:val="nil"/>
        <w:bottom w:val="nil"/>
        <w:right w:val="nil"/>
        <w:between w:val="nil"/>
      </w:pBdr>
      <w:tabs>
        <w:tab w:val="center" w:pos="4513"/>
        <w:tab w:val="right" w:pos="9026"/>
      </w:tabs>
      <w:rPr>
        <w:color w:val="000000"/>
      </w:rPr>
    </w:pPr>
    <w:r>
      <w:rPr>
        <w:noProof/>
        <w:color w:val="000000"/>
      </w:rPr>
      <w:drawing>
        <wp:inline distT="0" distB="0" distL="0" distR="0">
          <wp:extent cx="1398270" cy="1120140"/>
          <wp:effectExtent l="0" t="0" r="0" b="0"/>
          <wp:docPr id="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b="-6605"/>
                  <a:stretch>
                    <a:fillRect/>
                  </a:stretch>
                </pic:blipFill>
                <pic:spPr>
                  <a:xfrm>
                    <a:off x="0" y="0"/>
                    <a:ext cx="1398270" cy="1120140"/>
                  </a:xfrm>
                  <a:prstGeom prst="rect">
                    <a:avLst/>
                  </a:prstGeom>
                  <a:ln/>
                </pic:spPr>
              </pic:pic>
            </a:graphicData>
          </a:graphic>
        </wp:inline>
      </w:drawing>
    </w:r>
  </w:p>
  <w:p w:rsidR="0070753C" w:rsidRDefault="0070753C">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53C" w:rsidRDefault="0070753C">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F04D2"/>
    <w:multiLevelType w:val="multilevel"/>
    <w:tmpl w:val="465CC8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FCE4156"/>
    <w:multiLevelType w:val="multilevel"/>
    <w:tmpl w:val="623036B2"/>
    <w:lvl w:ilvl="0">
      <w:start w:val="1"/>
      <w:numFmt w:val="decimal"/>
      <w:pStyle w:val="GPSL1SCHEDULEHeading"/>
      <w:lvlText w:val="%1."/>
      <w:lvlJc w:val="left"/>
      <w:pPr>
        <w:tabs>
          <w:tab w:val="num" w:pos="720"/>
        </w:tabs>
        <w:ind w:left="720" w:hanging="720"/>
      </w:pPr>
    </w:lvl>
    <w:lvl w:ilvl="1">
      <w:start w:val="1"/>
      <w:numFmt w:val="decimal"/>
      <w:pStyle w:val="11table"/>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24D7CE6"/>
    <w:multiLevelType w:val="multilevel"/>
    <w:tmpl w:val="99D28B8A"/>
    <w:lvl w:ilvl="0">
      <w:start w:val="1"/>
      <w:numFmt w:val="bullet"/>
      <w:lvlText w:val="●"/>
      <w:lvlJc w:val="left"/>
      <w:pPr>
        <w:ind w:left="1133" w:hanging="360"/>
      </w:pPr>
      <w:rPr>
        <w:rFonts w:ascii="Noto Sans Symbols" w:eastAsia="Noto Sans Symbols" w:hAnsi="Noto Sans Symbols" w:cs="Noto Sans Symbols"/>
      </w:rPr>
    </w:lvl>
    <w:lvl w:ilvl="1">
      <w:start w:val="1"/>
      <w:numFmt w:val="bullet"/>
      <w:lvlText w:val="o"/>
      <w:lvlJc w:val="left"/>
      <w:pPr>
        <w:ind w:left="1853" w:hanging="360"/>
      </w:pPr>
    </w:lvl>
    <w:lvl w:ilvl="2">
      <w:start w:val="1"/>
      <w:numFmt w:val="bullet"/>
      <w:pStyle w:val="Heading3"/>
      <w:lvlText w:val="▪"/>
      <w:lvlJc w:val="left"/>
      <w:pPr>
        <w:ind w:left="2573" w:hanging="360"/>
      </w:pPr>
      <w:rPr>
        <w:rFonts w:ascii="Noto Sans Symbols" w:eastAsia="Noto Sans Symbols" w:hAnsi="Noto Sans Symbols" w:cs="Noto Sans Symbols"/>
      </w:rPr>
    </w:lvl>
    <w:lvl w:ilvl="3">
      <w:start w:val="1"/>
      <w:numFmt w:val="bullet"/>
      <w:lvlText w:val="●"/>
      <w:lvlJc w:val="left"/>
      <w:pPr>
        <w:ind w:left="3293" w:hanging="360"/>
      </w:pPr>
      <w:rPr>
        <w:rFonts w:ascii="Noto Sans Symbols" w:eastAsia="Noto Sans Symbols" w:hAnsi="Noto Sans Symbols" w:cs="Noto Sans Symbols"/>
      </w:rPr>
    </w:lvl>
    <w:lvl w:ilvl="4">
      <w:start w:val="1"/>
      <w:numFmt w:val="bullet"/>
      <w:lvlText w:val="o"/>
      <w:lvlJc w:val="left"/>
      <w:pPr>
        <w:ind w:left="4013" w:hanging="360"/>
      </w:pPr>
    </w:lvl>
    <w:lvl w:ilvl="5">
      <w:start w:val="1"/>
      <w:numFmt w:val="bullet"/>
      <w:lvlText w:val="▪"/>
      <w:lvlJc w:val="left"/>
      <w:pPr>
        <w:ind w:left="4733" w:hanging="360"/>
      </w:pPr>
      <w:rPr>
        <w:rFonts w:ascii="Noto Sans Symbols" w:eastAsia="Noto Sans Symbols" w:hAnsi="Noto Sans Symbols" w:cs="Noto Sans Symbols"/>
      </w:rPr>
    </w:lvl>
    <w:lvl w:ilvl="6">
      <w:start w:val="1"/>
      <w:numFmt w:val="bullet"/>
      <w:lvlText w:val="●"/>
      <w:lvlJc w:val="left"/>
      <w:pPr>
        <w:ind w:left="5453" w:hanging="360"/>
      </w:pPr>
      <w:rPr>
        <w:rFonts w:ascii="Noto Sans Symbols" w:eastAsia="Noto Sans Symbols" w:hAnsi="Noto Sans Symbols" w:cs="Noto Sans Symbols"/>
      </w:rPr>
    </w:lvl>
    <w:lvl w:ilvl="7">
      <w:start w:val="1"/>
      <w:numFmt w:val="bullet"/>
      <w:lvlText w:val="o"/>
      <w:lvlJc w:val="left"/>
      <w:pPr>
        <w:ind w:left="6173" w:hanging="360"/>
      </w:pPr>
    </w:lvl>
    <w:lvl w:ilvl="8">
      <w:start w:val="1"/>
      <w:numFmt w:val="bullet"/>
      <w:lvlText w:val="▪"/>
      <w:lvlJc w:val="left"/>
      <w:pPr>
        <w:ind w:left="6893" w:hanging="360"/>
      </w:pPr>
      <w:rPr>
        <w:rFonts w:ascii="Noto Sans Symbols" w:eastAsia="Noto Sans Symbols" w:hAnsi="Noto Sans Symbols" w:cs="Noto Sans Symbols"/>
      </w:rPr>
    </w:lvl>
  </w:abstractNum>
  <w:abstractNum w:abstractNumId="3" w15:restartNumberingAfterBreak="0">
    <w:nsid w:val="42BE2560"/>
    <w:multiLevelType w:val="multilevel"/>
    <w:tmpl w:val="07E09418"/>
    <w:lvl w:ilvl="0">
      <w:start w:val="1"/>
      <w:numFmt w:val="bullet"/>
      <w:lvlText w:val="o"/>
      <w:lvlJc w:val="left"/>
      <w:pPr>
        <w:ind w:left="773" w:hanging="360"/>
      </w:pPr>
    </w:lvl>
    <w:lvl w:ilvl="1">
      <w:start w:val="1"/>
      <w:numFmt w:val="bullet"/>
      <w:lvlText w:val="o"/>
      <w:lvlJc w:val="left"/>
      <w:pPr>
        <w:ind w:left="1493" w:hanging="360"/>
      </w:pPr>
    </w:lvl>
    <w:lvl w:ilvl="2">
      <w:start w:val="1"/>
      <w:numFmt w:val="bullet"/>
      <w:lvlText w:val="▪"/>
      <w:lvlJc w:val="left"/>
      <w:pPr>
        <w:ind w:left="2213" w:hanging="360"/>
      </w:pPr>
      <w:rPr>
        <w:rFonts w:ascii="Noto Sans Symbols" w:eastAsia="Noto Sans Symbols" w:hAnsi="Noto Sans Symbols" w:cs="Noto Sans Symbols"/>
      </w:rPr>
    </w:lvl>
    <w:lvl w:ilvl="3">
      <w:start w:val="1"/>
      <w:numFmt w:val="bullet"/>
      <w:lvlText w:val="●"/>
      <w:lvlJc w:val="left"/>
      <w:pPr>
        <w:ind w:left="2933" w:hanging="360"/>
      </w:pPr>
      <w:rPr>
        <w:rFonts w:ascii="Noto Sans Symbols" w:eastAsia="Noto Sans Symbols" w:hAnsi="Noto Sans Symbols" w:cs="Noto Sans Symbols"/>
      </w:rPr>
    </w:lvl>
    <w:lvl w:ilvl="4">
      <w:start w:val="1"/>
      <w:numFmt w:val="bullet"/>
      <w:lvlText w:val="o"/>
      <w:lvlJc w:val="left"/>
      <w:pPr>
        <w:ind w:left="3653" w:hanging="360"/>
      </w:pPr>
    </w:lvl>
    <w:lvl w:ilvl="5">
      <w:start w:val="1"/>
      <w:numFmt w:val="bullet"/>
      <w:lvlText w:val="▪"/>
      <w:lvlJc w:val="left"/>
      <w:pPr>
        <w:ind w:left="4373" w:hanging="360"/>
      </w:pPr>
      <w:rPr>
        <w:rFonts w:ascii="Noto Sans Symbols" w:eastAsia="Noto Sans Symbols" w:hAnsi="Noto Sans Symbols" w:cs="Noto Sans Symbols"/>
      </w:rPr>
    </w:lvl>
    <w:lvl w:ilvl="6">
      <w:start w:val="1"/>
      <w:numFmt w:val="bullet"/>
      <w:lvlText w:val="●"/>
      <w:lvlJc w:val="left"/>
      <w:pPr>
        <w:ind w:left="5093" w:hanging="360"/>
      </w:pPr>
      <w:rPr>
        <w:rFonts w:ascii="Noto Sans Symbols" w:eastAsia="Noto Sans Symbols" w:hAnsi="Noto Sans Symbols" w:cs="Noto Sans Symbols"/>
      </w:rPr>
    </w:lvl>
    <w:lvl w:ilvl="7">
      <w:start w:val="1"/>
      <w:numFmt w:val="bullet"/>
      <w:lvlText w:val="o"/>
      <w:lvlJc w:val="left"/>
      <w:pPr>
        <w:ind w:left="5813" w:hanging="360"/>
      </w:pPr>
    </w:lvl>
    <w:lvl w:ilvl="8">
      <w:start w:val="1"/>
      <w:numFmt w:val="bullet"/>
      <w:lvlText w:val="▪"/>
      <w:lvlJc w:val="left"/>
      <w:pPr>
        <w:ind w:left="6533" w:hanging="360"/>
      </w:pPr>
      <w:rPr>
        <w:rFonts w:ascii="Noto Sans Symbols" w:eastAsia="Noto Sans Symbols" w:hAnsi="Noto Sans Symbols" w:cs="Noto Sans Symbols"/>
      </w:rPr>
    </w:lvl>
  </w:abstractNum>
  <w:abstractNum w:abstractNumId="4" w15:restartNumberingAfterBreak="0">
    <w:nsid w:val="5E604B86"/>
    <w:multiLevelType w:val="multilevel"/>
    <w:tmpl w:val="2A541F6E"/>
    <w:lvl w:ilvl="0">
      <w:start w:val="1"/>
      <w:numFmt w:val="bullet"/>
      <w:lvlText w:val="o"/>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E746D10"/>
    <w:multiLevelType w:val="multilevel"/>
    <w:tmpl w:val="ABAC794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53C"/>
    <w:rsid w:val="00311E97"/>
    <w:rsid w:val="0070753C"/>
    <w:rsid w:val="00F815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A5902"/>
  <w15:docId w15:val="{2E2D6033-2773-452F-A705-758CFD358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extAlignment w:val="baseline"/>
    </w:pPr>
    <w:rPr>
      <w:rFonts w:cs="Times New Roman"/>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LO-Normal"/>
    <w:next w:val="LO-Normal"/>
    <w:uiPriority w:val="9"/>
    <w:semiHidden/>
    <w:unhideWhenUsed/>
    <w:qFormat/>
    <w:pPr>
      <w:keepNext/>
      <w:keepLines/>
      <w:numPr>
        <w:ilvl w:val="2"/>
        <w:numId w:val="1"/>
      </w:numPr>
      <w:spacing w:before="40"/>
      <w:outlineLvl w:val="2"/>
    </w:pPr>
    <w:rPr>
      <w:rFonts w:ascii="Calibri Light" w:eastAsia="Times New Roman" w:hAnsi="Calibri Light"/>
      <w:color w:val="1F4D7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Heading3Char">
    <w:name w:val="Heading 3 Char"/>
    <w:basedOn w:val="DefaultParagraphFont"/>
    <w:qFormat/>
    <w:rPr>
      <w:rFonts w:ascii="Calibri Light" w:eastAsia="Times New Roman" w:hAnsi="Calibri Light" w:cs="Times New Roman"/>
      <w:color w:val="1F4D78"/>
    </w:rPr>
  </w:style>
  <w:style w:type="character" w:customStyle="1" w:styleId="WWCharLFO2LVL1">
    <w:name w:val="WW_CharLFO2LVL1"/>
    <w:qFormat/>
    <w:rPr>
      <w:rFonts w:ascii="Courier New" w:hAnsi="Courier New" w:cs="Courier New"/>
    </w:rPr>
  </w:style>
  <w:style w:type="character" w:customStyle="1" w:styleId="WWCharLFO2LVL2">
    <w:name w:val="WW_CharLFO2LVL2"/>
    <w:qFormat/>
    <w:rPr>
      <w:rFonts w:ascii="Courier New" w:hAnsi="Courier New" w:cs="Courier New"/>
    </w:rPr>
  </w:style>
  <w:style w:type="character" w:customStyle="1" w:styleId="WWCharLFO2LVL3">
    <w:name w:val="WW_CharLFO2LVL3"/>
    <w:qFormat/>
    <w:rPr>
      <w:rFonts w:ascii="Wingdings" w:hAnsi="Wingdings"/>
    </w:rPr>
  </w:style>
  <w:style w:type="character" w:customStyle="1" w:styleId="WWCharLFO2LVL4">
    <w:name w:val="WW_CharLFO2LVL4"/>
    <w:qFormat/>
    <w:rPr>
      <w:rFonts w:ascii="Symbol" w:hAnsi="Symbol"/>
    </w:rPr>
  </w:style>
  <w:style w:type="character" w:customStyle="1" w:styleId="WWCharLFO2LVL5">
    <w:name w:val="WW_CharLFO2LVL5"/>
    <w:qFormat/>
    <w:rPr>
      <w:rFonts w:ascii="Courier New" w:hAnsi="Courier New" w:cs="Courier New"/>
    </w:rPr>
  </w:style>
  <w:style w:type="character" w:customStyle="1" w:styleId="WWCharLFO2LVL6">
    <w:name w:val="WW_CharLFO2LVL6"/>
    <w:qFormat/>
    <w:rPr>
      <w:rFonts w:ascii="Wingdings" w:hAnsi="Wingdings"/>
    </w:rPr>
  </w:style>
  <w:style w:type="character" w:customStyle="1" w:styleId="WWCharLFO2LVL7">
    <w:name w:val="WW_CharLFO2LVL7"/>
    <w:qFormat/>
    <w:rPr>
      <w:rFonts w:ascii="Symbol" w:hAnsi="Symbol"/>
    </w:rPr>
  </w:style>
  <w:style w:type="character" w:customStyle="1" w:styleId="WWCharLFO2LVL8">
    <w:name w:val="WW_CharLFO2LVL8"/>
    <w:qFormat/>
    <w:rPr>
      <w:rFonts w:ascii="Courier New" w:hAnsi="Courier New" w:cs="Courier New"/>
    </w:rPr>
  </w:style>
  <w:style w:type="character" w:customStyle="1" w:styleId="WWCharLFO2LVL9">
    <w:name w:val="WW_CharLFO2LVL9"/>
    <w:qFormat/>
    <w:rPr>
      <w:rFonts w:ascii="Wingdings" w:hAnsi="Wingdings"/>
    </w:rPr>
  </w:style>
  <w:style w:type="character" w:customStyle="1" w:styleId="WWCharLFO3LVL1">
    <w:name w:val="WW_CharLFO3LVL1"/>
    <w:qFormat/>
    <w:rPr>
      <w:rFonts w:ascii="Symbol" w:hAnsi="Symbol"/>
    </w:rPr>
  </w:style>
  <w:style w:type="character" w:customStyle="1" w:styleId="WWCharLFO3LVL2">
    <w:name w:val="WW_CharLFO3LVL2"/>
    <w:qFormat/>
    <w:rPr>
      <w:rFonts w:ascii="Courier New" w:hAnsi="Courier New" w:cs="Courier New"/>
    </w:rPr>
  </w:style>
  <w:style w:type="character" w:customStyle="1" w:styleId="WWCharLFO3LVL3">
    <w:name w:val="WW_CharLFO3LVL3"/>
    <w:qFormat/>
    <w:rPr>
      <w:rFonts w:ascii="Wingdings" w:hAnsi="Wingdings"/>
    </w:rPr>
  </w:style>
  <w:style w:type="character" w:customStyle="1" w:styleId="WWCharLFO3LVL4">
    <w:name w:val="WW_CharLFO3LVL4"/>
    <w:qFormat/>
    <w:rPr>
      <w:rFonts w:ascii="Symbol" w:hAnsi="Symbol"/>
    </w:rPr>
  </w:style>
  <w:style w:type="character" w:customStyle="1" w:styleId="WWCharLFO3LVL5">
    <w:name w:val="WW_CharLFO3LVL5"/>
    <w:qFormat/>
    <w:rPr>
      <w:rFonts w:ascii="Courier New" w:hAnsi="Courier New" w:cs="Courier New"/>
    </w:rPr>
  </w:style>
  <w:style w:type="character" w:customStyle="1" w:styleId="WWCharLFO3LVL6">
    <w:name w:val="WW_CharLFO3LVL6"/>
    <w:qFormat/>
    <w:rPr>
      <w:rFonts w:ascii="Wingdings" w:hAnsi="Wingdings"/>
    </w:rPr>
  </w:style>
  <w:style w:type="character" w:customStyle="1" w:styleId="WWCharLFO3LVL7">
    <w:name w:val="WW_CharLFO3LVL7"/>
    <w:qFormat/>
    <w:rPr>
      <w:rFonts w:ascii="Symbol" w:hAnsi="Symbol"/>
    </w:rPr>
  </w:style>
  <w:style w:type="character" w:customStyle="1" w:styleId="WWCharLFO3LVL8">
    <w:name w:val="WW_CharLFO3LVL8"/>
    <w:qFormat/>
    <w:rPr>
      <w:rFonts w:ascii="Courier New" w:hAnsi="Courier New" w:cs="Courier New"/>
    </w:rPr>
  </w:style>
  <w:style w:type="character" w:customStyle="1" w:styleId="WWCharLFO3LVL9">
    <w:name w:val="WW_CharLFO3LVL9"/>
    <w:qFormat/>
    <w:rPr>
      <w:rFonts w:ascii="Wingdings" w:hAnsi="Wingdings"/>
    </w:rPr>
  </w:style>
  <w:style w:type="character" w:customStyle="1" w:styleId="WWCharLFO4LVL1">
    <w:name w:val="WW_CharLFO4LVL1"/>
    <w:qFormat/>
    <w:rPr>
      <w:rFonts w:ascii="Courier New" w:hAnsi="Courier New" w:cs="Courier New"/>
    </w:rPr>
  </w:style>
  <w:style w:type="character" w:customStyle="1" w:styleId="WWCharLFO4LVL2">
    <w:name w:val="WW_CharLFO4LVL2"/>
    <w:qFormat/>
    <w:rPr>
      <w:rFonts w:ascii="Courier New" w:hAnsi="Courier New" w:cs="Courier New"/>
    </w:rPr>
  </w:style>
  <w:style w:type="character" w:customStyle="1" w:styleId="WWCharLFO4LVL3">
    <w:name w:val="WW_CharLFO4LVL3"/>
    <w:qFormat/>
    <w:rPr>
      <w:rFonts w:ascii="Wingdings" w:hAnsi="Wingdings"/>
    </w:rPr>
  </w:style>
  <w:style w:type="character" w:customStyle="1" w:styleId="WWCharLFO4LVL4">
    <w:name w:val="WW_CharLFO4LVL4"/>
    <w:qFormat/>
    <w:rPr>
      <w:rFonts w:ascii="Symbol" w:hAnsi="Symbol"/>
    </w:rPr>
  </w:style>
  <w:style w:type="character" w:customStyle="1" w:styleId="WWCharLFO4LVL5">
    <w:name w:val="WW_CharLFO4LVL5"/>
    <w:qFormat/>
    <w:rPr>
      <w:rFonts w:ascii="Courier New" w:hAnsi="Courier New" w:cs="Courier New"/>
    </w:rPr>
  </w:style>
  <w:style w:type="character" w:customStyle="1" w:styleId="WWCharLFO4LVL6">
    <w:name w:val="WW_CharLFO4LVL6"/>
    <w:qFormat/>
    <w:rPr>
      <w:rFonts w:ascii="Wingdings" w:hAnsi="Wingdings"/>
    </w:rPr>
  </w:style>
  <w:style w:type="character" w:customStyle="1" w:styleId="WWCharLFO4LVL7">
    <w:name w:val="WW_CharLFO4LVL7"/>
    <w:qFormat/>
    <w:rPr>
      <w:rFonts w:ascii="Symbol" w:hAnsi="Symbol"/>
    </w:rPr>
  </w:style>
  <w:style w:type="character" w:customStyle="1" w:styleId="WWCharLFO4LVL8">
    <w:name w:val="WW_CharLFO4LVL8"/>
    <w:qFormat/>
    <w:rPr>
      <w:rFonts w:ascii="Courier New" w:hAnsi="Courier New" w:cs="Courier New"/>
    </w:rPr>
  </w:style>
  <w:style w:type="character" w:customStyle="1" w:styleId="WWCharLFO4LVL9">
    <w:name w:val="WW_CharLFO4LVL9"/>
    <w:qFormat/>
    <w:rPr>
      <w:rFonts w:ascii="Wingdings" w:hAnsi="Wingdings"/>
    </w:rPr>
  </w:style>
  <w:style w:type="character" w:customStyle="1" w:styleId="WWCharLFO5LVL1">
    <w:name w:val="WW_CharLFO5LVL1"/>
    <w:qFormat/>
    <w:rPr>
      <w:rFonts w:ascii="Courier New" w:hAnsi="Courier New" w:cs="Courier New"/>
    </w:rPr>
  </w:style>
  <w:style w:type="character" w:customStyle="1" w:styleId="WWCharLFO5LVL2">
    <w:name w:val="WW_CharLFO5LVL2"/>
    <w:qFormat/>
    <w:rPr>
      <w:rFonts w:ascii="Courier New" w:hAnsi="Courier New" w:cs="Courier New"/>
    </w:rPr>
  </w:style>
  <w:style w:type="character" w:customStyle="1" w:styleId="WWCharLFO5LVL3">
    <w:name w:val="WW_CharLFO5LVL3"/>
    <w:qFormat/>
    <w:rPr>
      <w:rFonts w:ascii="Wingdings" w:hAnsi="Wingdings"/>
    </w:rPr>
  </w:style>
  <w:style w:type="character" w:customStyle="1" w:styleId="WWCharLFO5LVL4">
    <w:name w:val="WW_CharLFO5LVL4"/>
    <w:qFormat/>
    <w:rPr>
      <w:rFonts w:ascii="Symbol" w:hAnsi="Symbol"/>
    </w:rPr>
  </w:style>
  <w:style w:type="character" w:customStyle="1" w:styleId="WWCharLFO5LVL5">
    <w:name w:val="WW_CharLFO5LVL5"/>
    <w:qFormat/>
    <w:rPr>
      <w:rFonts w:ascii="Courier New" w:hAnsi="Courier New" w:cs="Courier New"/>
    </w:rPr>
  </w:style>
  <w:style w:type="character" w:customStyle="1" w:styleId="WWCharLFO5LVL6">
    <w:name w:val="WW_CharLFO5LVL6"/>
    <w:qFormat/>
    <w:rPr>
      <w:rFonts w:ascii="Wingdings" w:hAnsi="Wingdings"/>
    </w:rPr>
  </w:style>
  <w:style w:type="character" w:customStyle="1" w:styleId="WWCharLFO5LVL7">
    <w:name w:val="WW_CharLFO5LVL7"/>
    <w:qFormat/>
    <w:rPr>
      <w:rFonts w:ascii="Symbol" w:hAnsi="Symbol"/>
    </w:rPr>
  </w:style>
  <w:style w:type="character" w:customStyle="1" w:styleId="WWCharLFO5LVL8">
    <w:name w:val="WW_CharLFO5LVL8"/>
    <w:qFormat/>
    <w:rPr>
      <w:rFonts w:ascii="Courier New" w:hAnsi="Courier New" w:cs="Courier New"/>
    </w:rPr>
  </w:style>
  <w:style w:type="character" w:customStyle="1" w:styleId="WWCharLFO5LVL9">
    <w:name w:val="WW_CharLFO5LVL9"/>
    <w:qFormat/>
    <w:rPr>
      <w:rFonts w:ascii="Wingdings" w:hAnsi="Wingdings"/>
    </w:rPr>
  </w:style>
  <w:style w:type="character" w:customStyle="1" w:styleId="WWCharLFO6LVL1">
    <w:name w:val="WW_CharLFO6LVL1"/>
    <w:qFormat/>
    <w:rPr>
      <w:rFonts w:ascii="Symbol" w:hAnsi="Symbol"/>
    </w:rPr>
  </w:style>
  <w:style w:type="character" w:customStyle="1" w:styleId="WWCharLFO6LVL2">
    <w:name w:val="WW_CharLFO6LVL2"/>
    <w:qFormat/>
    <w:rPr>
      <w:rFonts w:ascii="Courier New" w:hAnsi="Courier New" w:cs="Courier New"/>
    </w:rPr>
  </w:style>
  <w:style w:type="character" w:customStyle="1" w:styleId="WWCharLFO6LVL3">
    <w:name w:val="WW_CharLFO6LVL3"/>
    <w:qFormat/>
    <w:rPr>
      <w:rFonts w:ascii="Wingdings" w:hAnsi="Wingdings"/>
    </w:rPr>
  </w:style>
  <w:style w:type="character" w:customStyle="1" w:styleId="WWCharLFO6LVL4">
    <w:name w:val="WW_CharLFO6LVL4"/>
    <w:qFormat/>
    <w:rPr>
      <w:rFonts w:ascii="Symbol" w:hAnsi="Symbol"/>
    </w:rPr>
  </w:style>
  <w:style w:type="character" w:customStyle="1" w:styleId="WWCharLFO6LVL5">
    <w:name w:val="WW_CharLFO6LVL5"/>
    <w:qFormat/>
    <w:rPr>
      <w:rFonts w:ascii="Courier New" w:hAnsi="Courier New" w:cs="Courier New"/>
    </w:rPr>
  </w:style>
  <w:style w:type="character" w:customStyle="1" w:styleId="WWCharLFO6LVL6">
    <w:name w:val="WW_CharLFO6LVL6"/>
    <w:qFormat/>
    <w:rPr>
      <w:rFonts w:ascii="Wingdings" w:hAnsi="Wingdings"/>
    </w:rPr>
  </w:style>
  <w:style w:type="character" w:customStyle="1" w:styleId="WWCharLFO6LVL7">
    <w:name w:val="WW_CharLFO6LVL7"/>
    <w:qFormat/>
    <w:rPr>
      <w:rFonts w:ascii="Symbol" w:hAnsi="Symbol"/>
    </w:rPr>
  </w:style>
  <w:style w:type="character" w:customStyle="1" w:styleId="WWCharLFO6LVL8">
    <w:name w:val="WW_CharLFO6LVL8"/>
    <w:qFormat/>
    <w:rPr>
      <w:rFonts w:ascii="Courier New" w:hAnsi="Courier New" w:cs="Courier New"/>
    </w:rPr>
  </w:style>
  <w:style w:type="character" w:customStyle="1" w:styleId="WWCharLFO6LVL9">
    <w:name w:val="WW_CharLFO6LVL9"/>
    <w:qFormat/>
    <w:rPr>
      <w:rFonts w:ascii="Wingdings" w:hAnsi="Wingdings"/>
    </w:rPr>
  </w:style>
  <w:style w:type="paragraph" w:customStyle="1" w:styleId="Heading">
    <w:name w:val="Heading"/>
    <w:basedOn w:val="Normal"/>
    <w:next w:val="BodyText"/>
    <w:qFormat/>
    <w:pPr>
      <w:keepNext/>
      <w:spacing w:before="240" w:after="120"/>
    </w:pPr>
    <w:rPr>
      <w:rFonts w:ascii="Liberation Sans" w:eastAsia="Linux Libertine G" w:hAnsi="Liberation Sans" w:cs="DejaVu Sans"/>
      <w:sz w:val="28"/>
      <w:szCs w:val="28"/>
    </w:rPr>
  </w:style>
  <w:style w:type="paragraph" w:styleId="BodyText">
    <w:name w:val="Body Text"/>
    <w:basedOn w:val="Normal"/>
    <w:pPr>
      <w:spacing w:after="140" w:line="276" w:lineRule="auto"/>
    </w:pPr>
  </w:style>
  <w:style w:type="paragraph" w:customStyle="1" w:styleId="LO-Normal">
    <w:name w:val="LO-Normal"/>
    <w:qFormat/>
    <w:pPr>
      <w:suppressAutoHyphens/>
      <w:textAlignment w:val="baseline"/>
    </w:pPr>
    <w:rPr>
      <w:rFonts w:cs="Times New Roman"/>
      <w:lang w:eastAsia="en-US"/>
    </w:rPr>
  </w:style>
  <w:style w:type="paragraph" w:styleId="ListParagraph">
    <w:name w:val="List Paragraph"/>
    <w:basedOn w:val="LO-Normal"/>
    <w:qFormat/>
    <w:pPr>
      <w:ind w:left="720"/>
    </w:pPr>
  </w:style>
  <w:style w:type="paragraph" w:styleId="Header">
    <w:name w:val="header"/>
    <w:basedOn w:val="LO-Normal"/>
    <w:pPr>
      <w:tabs>
        <w:tab w:val="center" w:pos="4513"/>
        <w:tab w:val="right" w:pos="9026"/>
      </w:tabs>
    </w:pPr>
  </w:style>
  <w:style w:type="paragraph" w:styleId="Footer">
    <w:name w:val="footer"/>
    <w:basedOn w:val="LO-Normal"/>
    <w:pPr>
      <w:tabs>
        <w:tab w:val="center" w:pos="4513"/>
        <w:tab w:val="right" w:pos="9026"/>
      </w:tabs>
    </w:pPr>
  </w:style>
  <w:style w:type="paragraph" w:customStyle="1" w:styleId="TSOLScheduleMainSectionX11">
    <w:name w:val="TSOL Schedule Main Section X.1.1"/>
    <w:basedOn w:val="Heading3"/>
    <w:qFormat/>
    <w:pPr>
      <w:keepNext w:val="0"/>
      <w:keepLines w:val="0"/>
      <w:numPr>
        <w:ilvl w:val="0"/>
        <w:numId w:val="0"/>
      </w:numPr>
      <w:tabs>
        <w:tab w:val="left" w:pos="360"/>
        <w:tab w:val="left" w:pos="2160"/>
      </w:tabs>
      <w:spacing w:before="0" w:after="240"/>
      <w:jc w:val="both"/>
    </w:pPr>
    <w:rPr>
      <w:rFonts w:ascii="Arial" w:eastAsia="STZhongsong" w:hAnsi="Arial" w:cs="Arial"/>
      <w:color w:val="auto"/>
      <w:sz w:val="22"/>
      <w:szCs w:val="22"/>
      <w:lang w:eastAsia="zh-CN"/>
    </w:rPr>
  </w:style>
  <w:style w:type="paragraph" w:customStyle="1" w:styleId="TableContents">
    <w:name w:val="Table Contents"/>
    <w:basedOn w:val="Normal"/>
    <w:qFormat/>
    <w:pPr>
      <w:suppressLineNumbers/>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tblCellMar>
    </w:tblPr>
  </w:style>
  <w:style w:type="table" w:customStyle="1" w:styleId="a0">
    <w:basedOn w:val="TableNormal"/>
    <w:tblPr>
      <w:tblStyleRowBandSize w:val="1"/>
      <w:tblStyleColBandSize w:val="1"/>
      <w:tblCellMar>
        <w:left w:w="103"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cs="Times New Roman"/>
      <w:sz w:val="20"/>
      <w:szCs w:val="20"/>
      <w:lang w:eastAsia="en-US"/>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semiHidden/>
    <w:unhideWhenUsed/>
    <w:rsid w:val="001879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911"/>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ED2671"/>
    <w:rPr>
      <w:b/>
      <w:bCs/>
    </w:rPr>
  </w:style>
  <w:style w:type="character" w:customStyle="1" w:styleId="CommentSubjectChar">
    <w:name w:val="Comment Subject Char"/>
    <w:basedOn w:val="CommentTextChar"/>
    <w:link w:val="CommentSubject"/>
    <w:uiPriority w:val="99"/>
    <w:semiHidden/>
    <w:rsid w:val="00ED2671"/>
    <w:rPr>
      <w:rFonts w:cs="Times New Roman"/>
      <w:b/>
      <w:bCs/>
      <w:sz w:val="20"/>
      <w:szCs w:val="20"/>
      <w:lang w:eastAsia="en-US"/>
    </w:rPr>
  </w:style>
  <w:style w:type="paragraph" w:styleId="Revision">
    <w:name w:val="Revision"/>
    <w:hidden/>
    <w:uiPriority w:val="99"/>
    <w:semiHidden/>
    <w:rsid w:val="00D64587"/>
    <w:rPr>
      <w:rFonts w:cs="Times New Roman"/>
      <w:lang w:eastAsia="en-US"/>
    </w:rPr>
  </w:style>
  <w:style w:type="paragraph" w:customStyle="1" w:styleId="11table">
    <w:name w:val="1.1 table"/>
    <w:basedOn w:val="Normal"/>
    <w:qFormat/>
    <w:rsid w:val="00B52BEC"/>
    <w:pPr>
      <w:numPr>
        <w:ilvl w:val="1"/>
        <w:numId w:val="6"/>
      </w:numPr>
      <w:adjustRightInd w:val="0"/>
      <w:textAlignment w:val="auto"/>
    </w:pPr>
    <w:rPr>
      <w:rFonts w:eastAsia="STZhongsong"/>
      <w:b/>
      <w:sz w:val="22"/>
      <w:szCs w:val="22"/>
      <w:lang w:eastAsia="zh-CN"/>
    </w:rPr>
  </w:style>
  <w:style w:type="paragraph" w:customStyle="1" w:styleId="GPSL1SCHEDULEHeading">
    <w:name w:val="GPS L1 SCHEDULE Heading"/>
    <w:basedOn w:val="Normal"/>
    <w:qFormat/>
    <w:rsid w:val="00B52BEC"/>
    <w:pPr>
      <w:numPr>
        <w:numId w:val="6"/>
      </w:numPr>
      <w:tabs>
        <w:tab w:val="left" w:pos="142"/>
      </w:tabs>
      <w:adjustRightInd w:val="0"/>
      <w:spacing w:before="120" w:after="240"/>
      <w:jc w:val="both"/>
      <w:textAlignment w:val="auto"/>
    </w:pPr>
    <w:rPr>
      <w:rFonts w:eastAsia="STZhongsong" w:cs="Arial"/>
      <w:b/>
      <w:caps/>
      <w:sz w:val="22"/>
      <w:szCs w:val="22"/>
      <w:lang w:eastAsia="zh-CN"/>
    </w:rPr>
  </w:style>
  <w:style w:type="table" w:customStyle="1" w:styleId="a1">
    <w:basedOn w:val="TableNormal"/>
    <w:tblPr>
      <w:tblStyleRowBandSize w:val="1"/>
      <w:tblStyleColBandSize w:val="1"/>
      <w:tblCellMar>
        <w:left w:w="103" w:type="dxa"/>
      </w:tblCellMar>
    </w:tblPr>
  </w:style>
  <w:style w:type="table" w:customStyle="1" w:styleId="a2">
    <w:basedOn w:val="TableNormal"/>
    <w:tblPr>
      <w:tblStyleRowBandSize w:val="1"/>
      <w:tblStyleColBandSize w:val="1"/>
      <w:tblCellMar>
        <w:left w:w="103" w:type="dxa"/>
      </w:tblCellMar>
    </w:tblPr>
  </w:style>
  <w:style w:type="table" w:customStyle="1" w:styleId="a3">
    <w:basedOn w:val="TableNormal"/>
    <w:tblPr>
      <w:tblStyleRowBandSize w:val="1"/>
      <w:tblStyleColBandSize w:val="1"/>
      <w:tblCellMar>
        <w:left w:w="103" w:type="dxa"/>
      </w:tblCellMar>
    </w:tblPr>
  </w:style>
  <w:style w:type="table" w:customStyle="1" w:styleId="a4">
    <w:basedOn w:val="TableNormal"/>
    <w:tblPr>
      <w:tblStyleRowBandSize w:val="1"/>
      <w:tblStyleColBandSize w:val="1"/>
      <w:tblCellMar>
        <w:left w:w="103" w:type="dxa"/>
      </w:tblCellMar>
    </w:tblPr>
  </w:style>
  <w:style w:type="table" w:customStyle="1" w:styleId="a5">
    <w:basedOn w:val="TableNormal"/>
    <w:tblPr>
      <w:tblStyleRowBandSize w:val="1"/>
      <w:tblStyleColBandSize w:val="1"/>
      <w:tblCellMar>
        <w:left w:w="103" w:type="dxa"/>
      </w:tblCellMar>
    </w:tblPr>
  </w:style>
  <w:style w:type="table" w:customStyle="1" w:styleId="a6">
    <w:basedOn w:val="TableNormal"/>
    <w:tblPr>
      <w:tblStyleRowBandSize w:val="1"/>
      <w:tblStyleColBandSize w:val="1"/>
      <w:tblCellMar>
        <w:left w:w="103" w:type="dxa"/>
      </w:tblCellMar>
    </w:tblPr>
  </w:style>
  <w:style w:type="character" w:styleId="Hyperlink">
    <w:name w:val="Hyperlink"/>
    <w:basedOn w:val="DefaultParagraphFont"/>
    <w:uiPriority w:val="99"/>
    <w:unhideWhenUsed/>
    <w:rsid w:val="00063AB4"/>
    <w:rPr>
      <w:color w:val="0000FF" w:themeColor="hyperlink"/>
      <w:u w:val="single"/>
    </w:rPr>
  </w:style>
  <w:style w:type="character" w:styleId="UnresolvedMention">
    <w:name w:val="Unresolved Mention"/>
    <w:basedOn w:val="DefaultParagraphFont"/>
    <w:uiPriority w:val="99"/>
    <w:semiHidden/>
    <w:unhideWhenUsed/>
    <w:rsid w:val="00063AB4"/>
    <w:rPr>
      <w:color w:val="605E5C"/>
      <w:shd w:val="clear" w:color="auto" w:fill="E1DFDD"/>
    </w:rPr>
  </w:style>
  <w:style w:type="table" w:customStyle="1" w:styleId="a7">
    <w:basedOn w:val="TableNormal"/>
    <w:tblPr>
      <w:tblStyleRowBandSize w:val="1"/>
      <w:tblStyleColBandSize w:val="1"/>
      <w:tblCellMar>
        <w:left w:w="103" w:type="dxa"/>
      </w:tblCellMar>
    </w:tblPr>
  </w:style>
  <w:style w:type="table" w:customStyle="1" w:styleId="a8">
    <w:basedOn w:val="TableNormal"/>
    <w:tblPr>
      <w:tblStyleRowBandSize w:val="1"/>
      <w:tblStyleColBandSize w:val="1"/>
      <w:tblCellMar>
        <w:left w:w="103" w:type="dxa"/>
      </w:tblCellMar>
    </w:tblPr>
  </w:style>
  <w:style w:type="paragraph" w:styleId="NormalWeb">
    <w:name w:val="Normal (Web)"/>
    <w:basedOn w:val="Normal"/>
    <w:uiPriority w:val="99"/>
    <w:unhideWhenUsed/>
    <w:rsid w:val="00311E97"/>
    <w:pPr>
      <w:spacing w:before="100" w:beforeAutospacing="1" w:after="100" w:afterAutospacing="1"/>
      <w:textAlignment w:val="auto"/>
    </w:pPr>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646108">
      <w:bodyDiv w:val="1"/>
      <w:marLeft w:val="0"/>
      <w:marRight w:val="0"/>
      <w:marTop w:val="0"/>
      <w:marBottom w:val="0"/>
      <w:divBdr>
        <w:top w:val="none" w:sz="0" w:space="0" w:color="auto"/>
        <w:left w:val="none" w:sz="0" w:space="0" w:color="auto"/>
        <w:bottom w:val="none" w:sz="0" w:space="0" w:color="auto"/>
        <w:right w:val="none" w:sz="0" w:space="0" w:color="auto"/>
      </w:divBdr>
    </w:div>
    <w:div w:id="1329793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RVPExe827PHjV2E3Jp2k1JUROg==">CgMxLjAyCGguZ2pkZ3hzMgloLjMwajB6bGw4AHIhMVJfY2RDTm5fd01GZjgyanNNZl9yMl90MUFKMjMwUGFT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1729</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Olivia Devaney</cp:lastModifiedBy>
  <cp:revision>2</cp:revision>
  <dcterms:created xsi:type="dcterms:W3CDTF">2024-06-28T07:41:00Z</dcterms:created>
  <dcterms:modified xsi:type="dcterms:W3CDTF">2024-10-22T08:50:00Z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90289887-2</vt:lpwstr>
  </property>
</Properties>
</file>